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67598" w14:textId="77777777" w:rsidR="00F23865" w:rsidRPr="00F06098" w:rsidRDefault="00F23865" w:rsidP="00A02C25">
      <w:pPr>
        <w:rPr>
          <w:b/>
          <w:sz w:val="28"/>
          <w:szCs w:val="28"/>
        </w:rPr>
      </w:pPr>
      <w:bookmarkStart w:id="0" w:name="_GoBack"/>
      <w:bookmarkEnd w:id="0"/>
      <w:r w:rsidRPr="00F06098">
        <w:rPr>
          <w:b/>
          <w:sz w:val="28"/>
          <w:szCs w:val="28"/>
        </w:rPr>
        <w:t>(</w:t>
      </w:r>
      <w:r w:rsidR="00AA6E2C" w:rsidRPr="00F06098">
        <w:rPr>
          <w:b/>
          <w:sz w:val="28"/>
          <w:szCs w:val="28"/>
        </w:rPr>
        <w:t xml:space="preserve">General </w:t>
      </w:r>
      <w:r w:rsidRPr="00F06098">
        <w:rPr>
          <w:b/>
          <w:sz w:val="28"/>
          <w:szCs w:val="28"/>
        </w:rPr>
        <w:t>Template</w:t>
      </w:r>
      <w:r w:rsidR="00DC2481" w:rsidRPr="00F06098">
        <w:rPr>
          <w:b/>
          <w:sz w:val="28"/>
          <w:szCs w:val="28"/>
        </w:rPr>
        <w:t xml:space="preserve"> for </w:t>
      </w:r>
      <w:r w:rsidR="003267F4" w:rsidRPr="00F06098">
        <w:rPr>
          <w:b/>
          <w:sz w:val="28"/>
          <w:szCs w:val="28"/>
        </w:rPr>
        <w:t xml:space="preserve">IATA case Studies </w:t>
      </w:r>
      <w:r w:rsidR="00AA6E2C" w:rsidRPr="00F06098">
        <w:rPr>
          <w:b/>
          <w:sz w:val="28"/>
          <w:szCs w:val="28"/>
        </w:rPr>
        <w:t>- Building Blocks</w:t>
      </w:r>
      <w:r w:rsidRPr="00F06098">
        <w:rPr>
          <w:b/>
          <w:sz w:val="28"/>
          <w:szCs w:val="28"/>
        </w:rPr>
        <w:t>)</w:t>
      </w:r>
    </w:p>
    <w:p w14:paraId="156A0ECE" w14:textId="77777777" w:rsidR="005D2FB7" w:rsidRPr="00F06098" w:rsidRDefault="00F33992" w:rsidP="004A6D19">
      <w:pPr>
        <w:spacing w:after="240" w:line="240" w:lineRule="auto"/>
        <w:rPr>
          <w:sz w:val="28"/>
          <w:szCs w:val="28"/>
        </w:rPr>
      </w:pPr>
      <w:r w:rsidRPr="00F06098">
        <w:rPr>
          <w:sz w:val="28"/>
          <w:szCs w:val="28"/>
        </w:rPr>
        <w:t xml:space="preserve">Title: </w:t>
      </w:r>
      <w:r w:rsidR="00F06323" w:rsidRPr="00F06098">
        <w:rPr>
          <w:sz w:val="28"/>
          <w:szCs w:val="28"/>
        </w:rPr>
        <w:t xml:space="preserve">Case Study on the use of </w:t>
      </w:r>
      <w:r w:rsidRPr="00F06098">
        <w:rPr>
          <w:sz w:val="28"/>
          <w:szCs w:val="28"/>
        </w:rPr>
        <w:t>Integrated Approach</w:t>
      </w:r>
      <w:r w:rsidR="00F06323" w:rsidRPr="00F06098">
        <w:rPr>
          <w:sz w:val="28"/>
          <w:szCs w:val="28"/>
        </w:rPr>
        <w:t>es</w:t>
      </w:r>
      <w:r w:rsidRPr="00F06098">
        <w:rPr>
          <w:sz w:val="28"/>
          <w:szCs w:val="28"/>
        </w:rPr>
        <w:t xml:space="preserve"> for </w:t>
      </w:r>
      <w:r w:rsidR="00A9682D" w:rsidRPr="00F06098">
        <w:rPr>
          <w:sz w:val="28"/>
          <w:szCs w:val="28"/>
        </w:rPr>
        <w:t xml:space="preserve">Testing and Assessment </w:t>
      </w:r>
      <w:r w:rsidR="007C10B0" w:rsidRPr="00F06098">
        <w:rPr>
          <w:sz w:val="28"/>
          <w:szCs w:val="28"/>
        </w:rPr>
        <w:t xml:space="preserve">for </w:t>
      </w:r>
      <w:r w:rsidRPr="00F06098">
        <w:rPr>
          <w:sz w:val="28"/>
          <w:szCs w:val="28"/>
        </w:rPr>
        <w:t>“</w:t>
      </w:r>
      <w:r w:rsidR="00A9682D" w:rsidRPr="00F06098">
        <w:rPr>
          <w:sz w:val="28"/>
          <w:szCs w:val="28"/>
        </w:rPr>
        <w:t xml:space="preserve">Target </w:t>
      </w:r>
      <w:r w:rsidRPr="00F06098">
        <w:rPr>
          <w:sz w:val="28"/>
          <w:szCs w:val="28"/>
        </w:rPr>
        <w:t>Endpoint(s)” of “Target Chemical</w:t>
      </w:r>
      <w:r w:rsidR="00AA0C76" w:rsidRPr="00F06098">
        <w:rPr>
          <w:sz w:val="28"/>
          <w:szCs w:val="28"/>
        </w:rPr>
        <w:t>(</w:t>
      </w:r>
      <w:r w:rsidR="004A6D19" w:rsidRPr="00F06098">
        <w:rPr>
          <w:sz w:val="28"/>
          <w:szCs w:val="28"/>
        </w:rPr>
        <w:t>s</w:t>
      </w:r>
      <w:r w:rsidR="00AA0C76" w:rsidRPr="00F06098">
        <w:rPr>
          <w:sz w:val="28"/>
          <w:szCs w:val="28"/>
        </w:rPr>
        <w:t>)</w:t>
      </w:r>
      <w:r w:rsidR="00B036CE" w:rsidRPr="00F06098">
        <w:rPr>
          <w:sz w:val="28"/>
          <w:szCs w:val="28"/>
        </w:rPr>
        <w:t>”</w:t>
      </w:r>
    </w:p>
    <w:p w14:paraId="20C6AC5C" w14:textId="46C0E5CD" w:rsidR="004A6D19" w:rsidRPr="00F06098" w:rsidRDefault="004A6D19" w:rsidP="00E565C5">
      <w:pPr>
        <w:pBdr>
          <w:top w:val="single" w:sz="4" w:space="1" w:color="auto"/>
          <w:left w:val="single" w:sz="4" w:space="4" w:color="auto"/>
          <w:bottom w:val="single" w:sz="4" w:space="1" w:color="auto"/>
          <w:right w:val="single" w:sz="4" w:space="4" w:color="auto"/>
        </w:pBdr>
      </w:pPr>
      <w:r w:rsidRPr="00F06098">
        <w:t xml:space="preserve">(N.B.  The following template </w:t>
      </w:r>
      <w:r w:rsidRPr="00F06098">
        <w:rPr>
          <w:b/>
          <w:u w:val="single"/>
        </w:rPr>
        <w:t>should not be viewed as a strict structure</w:t>
      </w:r>
      <w:r w:rsidRPr="00F06098">
        <w:t xml:space="preserve">, but </w:t>
      </w:r>
      <w:r w:rsidRPr="00F06098">
        <w:rPr>
          <w:b/>
          <w:u w:val="single"/>
        </w:rPr>
        <w:t>rather identifies the information that should be included</w:t>
      </w:r>
      <w:r w:rsidRPr="00F06098">
        <w:t xml:space="preserve"> in this type of case study.  Depending on the specific case study additional information/(sub)section(s) may be required or particular subsections may not apply. The order of the (sub)sections of the template can be changed and two or more (sub)sections of the template can be merged, as necessary. The titles of a (sub)</w:t>
      </w:r>
      <w:r w:rsidR="003A3E3E">
        <w:t xml:space="preserve"> </w:t>
      </w:r>
      <w:r w:rsidRPr="00F06098">
        <w:t>section can be change</w:t>
      </w:r>
      <w:r w:rsidR="0024522F" w:rsidRPr="00F06098">
        <w:t>d</w:t>
      </w:r>
      <w:r w:rsidRPr="00F06098">
        <w:t xml:space="preserve"> as necessary. The template will be revised based on experience with use).</w:t>
      </w:r>
    </w:p>
    <w:p w14:paraId="0530A86E" w14:textId="40E3C8DC" w:rsidR="001E1F7D" w:rsidRPr="001E1F7D" w:rsidRDefault="001E1F7D" w:rsidP="00D71354">
      <w:pPr>
        <w:tabs>
          <w:tab w:val="left" w:pos="0"/>
        </w:tabs>
        <w:rPr>
          <w:rFonts w:eastAsia="MS Mincho"/>
          <w:lang w:eastAsia="ja-JP"/>
        </w:rPr>
      </w:pPr>
      <w:r>
        <w:rPr>
          <w:rFonts w:eastAsia="MS Mincho"/>
          <w:lang w:eastAsia="ja-JP"/>
        </w:rPr>
        <w:t>The</w:t>
      </w:r>
      <w:r w:rsidRPr="001E1F7D">
        <w:rPr>
          <w:rFonts w:eastAsia="MS Mincho"/>
          <w:lang w:eastAsia="ja-JP"/>
        </w:rPr>
        <w:t xml:space="preserve"> overview document</w:t>
      </w:r>
      <w:r>
        <w:rPr>
          <w:rFonts w:eastAsia="MS Mincho"/>
          <w:lang w:eastAsia="ja-JP"/>
        </w:rPr>
        <w:t xml:space="preserve"> (</w:t>
      </w:r>
      <w:hyperlink r:id="rId8" w:history="1">
        <w:r w:rsidRPr="002369B5">
          <w:rPr>
            <w:rStyle w:val="Hyperlink"/>
            <w:rFonts w:eastAsia="MS Mincho"/>
            <w:lang w:eastAsia="ja-JP"/>
          </w:rPr>
          <w:t>OECD, 2020e</w:t>
        </w:r>
      </w:hyperlink>
      <w:r>
        <w:rPr>
          <w:rFonts w:eastAsia="MS Mincho"/>
          <w:lang w:eastAsia="ja-JP"/>
        </w:rPr>
        <w:t xml:space="preserve">) helps </w:t>
      </w:r>
      <w:r w:rsidRPr="001E1F7D">
        <w:rPr>
          <w:rFonts w:eastAsia="MS Mincho"/>
          <w:lang w:eastAsia="ja-JP"/>
        </w:rPr>
        <w:t xml:space="preserve">understanding of IATA, by explaining key concepts and providing basic definitions, and to support easier access to existing resources. </w:t>
      </w:r>
    </w:p>
    <w:p w14:paraId="00CF0FC1" w14:textId="00457F48" w:rsidR="008754DB" w:rsidRPr="00F06098" w:rsidRDefault="0032783F" w:rsidP="00D71354">
      <w:pPr>
        <w:tabs>
          <w:tab w:val="left" w:pos="0"/>
        </w:tabs>
        <w:rPr>
          <w:rFonts w:eastAsia="MS Mincho"/>
          <w:b/>
          <w:u w:val="single"/>
          <w:lang w:eastAsia="ja-JP"/>
        </w:rPr>
      </w:pPr>
      <w:r w:rsidRPr="00F06098">
        <w:rPr>
          <w:rFonts w:eastAsia="MS Mincho"/>
          <w:b/>
          <w:u w:val="single"/>
          <w:lang w:eastAsia="ja-JP"/>
        </w:rPr>
        <w:t>A</w:t>
      </w:r>
      <w:r w:rsidR="008754DB" w:rsidRPr="00F06098">
        <w:rPr>
          <w:rFonts w:eastAsia="MS Mincho"/>
          <w:b/>
          <w:u w:val="single"/>
          <w:lang w:eastAsia="ja-JP"/>
        </w:rPr>
        <w:t xml:space="preserve">bstract / </w:t>
      </w:r>
      <w:r w:rsidRPr="00F06098">
        <w:rPr>
          <w:rFonts w:eastAsia="MS Mincho"/>
          <w:b/>
          <w:u w:val="single"/>
          <w:lang w:eastAsia="ja-JP"/>
        </w:rPr>
        <w:t>S</w:t>
      </w:r>
      <w:r w:rsidR="008754DB" w:rsidRPr="00F06098">
        <w:rPr>
          <w:rFonts w:eastAsia="MS Mincho"/>
          <w:b/>
          <w:u w:val="single"/>
          <w:lang w:eastAsia="ja-JP"/>
        </w:rPr>
        <w:t xml:space="preserve">ynopsis / </w:t>
      </w:r>
      <w:r w:rsidRPr="00F06098">
        <w:rPr>
          <w:rFonts w:eastAsia="MS Mincho"/>
          <w:b/>
          <w:u w:val="single"/>
          <w:lang w:eastAsia="ja-JP"/>
        </w:rPr>
        <w:t>E</w:t>
      </w:r>
      <w:r w:rsidR="008754DB" w:rsidRPr="00F06098">
        <w:rPr>
          <w:rFonts w:eastAsia="MS Mincho"/>
          <w:b/>
          <w:u w:val="single"/>
          <w:lang w:eastAsia="ja-JP"/>
        </w:rPr>
        <w:t>xecutive summary</w:t>
      </w:r>
    </w:p>
    <w:p w14:paraId="229C19C9" w14:textId="517D78BF" w:rsidR="008754DB" w:rsidRPr="004D597C" w:rsidRDefault="00D10201" w:rsidP="00D71354">
      <w:pPr>
        <w:tabs>
          <w:tab w:val="left" w:pos="0"/>
        </w:tabs>
        <w:rPr>
          <w:rFonts w:eastAsia="MS Mincho"/>
          <w:lang w:eastAsia="ja-JP"/>
        </w:rPr>
      </w:pPr>
      <w:r w:rsidRPr="00C05870">
        <w:rPr>
          <w:rFonts w:eastAsia="MS Mincho"/>
          <w:lang w:eastAsia="ja-JP"/>
        </w:rPr>
        <w:t xml:space="preserve">This section </w:t>
      </w:r>
      <w:r w:rsidR="00760584" w:rsidRPr="00C05870">
        <w:rPr>
          <w:rFonts w:eastAsia="MS Mincho"/>
          <w:lang w:eastAsia="ja-JP"/>
        </w:rPr>
        <w:t>sh</w:t>
      </w:r>
      <w:r w:rsidRPr="00C05870">
        <w:rPr>
          <w:rFonts w:eastAsia="MS Mincho"/>
          <w:lang w:eastAsia="ja-JP"/>
        </w:rPr>
        <w:t>ould provide a brief overview of the case study, including the</w:t>
      </w:r>
      <w:r w:rsidR="0032783F" w:rsidRPr="00C05870">
        <w:rPr>
          <w:rFonts w:eastAsia="MS Mincho"/>
          <w:lang w:eastAsia="ja-JP"/>
        </w:rPr>
        <w:t xml:space="preserve"> objectives, concept</w:t>
      </w:r>
      <w:r w:rsidRPr="004D597C">
        <w:rPr>
          <w:rFonts w:eastAsia="MS Mincho"/>
          <w:lang w:eastAsia="ja-JP"/>
        </w:rPr>
        <w:t>s</w:t>
      </w:r>
      <w:r w:rsidR="0032783F" w:rsidRPr="004D597C">
        <w:rPr>
          <w:rFonts w:eastAsia="MS Mincho"/>
          <w:lang w:eastAsia="ja-JP"/>
        </w:rPr>
        <w:t>,</w:t>
      </w:r>
      <w:r w:rsidRPr="004D597C">
        <w:rPr>
          <w:rFonts w:eastAsia="MS Mincho"/>
          <w:lang w:eastAsia="ja-JP"/>
        </w:rPr>
        <w:t xml:space="preserve"> methodologies, </w:t>
      </w:r>
      <w:r w:rsidR="0032783F" w:rsidRPr="004D597C">
        <w:rPr>
          <w:rFonts w:eastAsia="MS Mincho"/>
          <w:lang w:eastAsia="ja-JP"/>
        </w:rPr>
        <w:t>outcomes and conclusion in about 300 words</w:t>
      </w:r>
      <w:r w:rsidRPr="00C05870">
        <w:rPr>
          <w:rFonts w:eastAsia="MS Mincho"/>
          <w:lang w:eastAsia="ja-JP"/>
        </w:rPr>
        <w:t>.</w:t>
      </w:r>
      <w:r w:rsidR="004B76B5" w:rsidRPr="00C05870">
        <w:rPr>
          <w:rFonts w:eastAsia="MS Mincho"/>
          <w:lang w:eastAsia="ja-JP"/>
        </w:rPr>
        <w:t xml:space="preserve"> Please </w:t>
      </w:r>
      <w:r w:rsidR="004B76B5" w:rsidRPr="004D597C">
        <w:rPr>
          <w:rFonts w:eastAsia="MS Mincho"/>
          <w:lang w:eastAsia="ja-JP"/>
        </w:rPr>
        <w:t>refer to Executive Summary in Case Study 2018-1 (</w:t>
      </w:r>
      <w:hyperlink r:id="rId9" w:history="1">
        <w:r w:rsidR="004B76B5" w:rsidRPr="00C05870">
          <w:rPr>
            <w:rStyle w:val="Hyperlink"/>
            <w:rFonts w:eastAsia="MS Mincho"/>
            <w:lang w:eastAsia="ja-JP"/>
          </w:rPr>
          <w:t>OECD, 2019a</w:t>
        </w:r>
      </w:hyperlink>
      <w:r w:rsidR="004B76B5" w:rsidRPr="00C05870">
        <w:rPr>
          <w:rFonts w:eastAsia="MS Mincho"/>
          <w:lang w:eastAsia="ja-JP"/>
        </w:rPr>
        <w:t>) and 2018-2 (</w:t>
      </w:r>
      <w:hyperlink r:id="rId10" w:history="1">
        <w:r w:rsidR="004B76B5" w:rsidRPr="00C05870">
          <w:rPr>
            <w:rStyle w:val="Hyperlink"/>
            <w:rFonts w:eastAsia="MS Mincho"/>
            <w:lang w:eastAsia="ja-JP"/>
          </w:rPr>
          <w:t>OECD, 2019b</w:t>
        </w:r>
      </w:hyperlink>
      <w:r w:rsidR="004B76B5" w:rsidRPr="00C05870">
        <w:rPr>
          <w:rFonts w:eastAsia="MS Mincho"/>
          <w:lang w:eastAsia="ja-JP"/>
        </w:rPr>
        <w:t xml:space="preserve">), and </w:t>
      </w:r>
      <w:r w:rsidR="004B76B5" w:rsidRPr="004D597C">
        <w:rPr>
          <w:rFonts w:eastAsia="MS Mincho"/>
          <w:lang w:eastAsia="ja-JP"/>
        </w:rPr>
        <w:t>Summary in 2017-3 (</w:t>
      </w:r>
      <w:hyperlink r:id="rId11" w:history="1">
        <w:r w:rsidR="004B76B5" w:rsidRPr="00C05870">
          <w:rPr>
            <w:rStyle w:val="Hyperlink"/>
            <w:rFonts w:eastAsia="MS Mincho"/>
            <w:lang w:eastAsia="ja-JP"/>
          </w:rPr>
          <w:t>OECD, 2018a</w:t>
        </w:r>
      </w:hyperlink>
      <w:r w:rsidR="004B76B5" w:rsidRPr="00C05870">
        <w:rPr>
          <w:rFonts w:eastAsia="MS Mincho"/>
          <w:lang w:eastAsia="ja-JP"/>
        </w:rPr>
        <w:t>) as examples.</w:t>
      </w:r>
    </w:p>
    <w:p w14:paraId="58FC87AD" w14:textId="3075F426" w:rsidR="00594E34" w:rsidRPr="004D597C" w:rsidRDefault="00594E34" w:rsidP="00D71354">
      <w:pPr>
        <w:tabs>
          <w:tab w:val="left" w:pos="0"/>
        </w:tabs>
        <w:rPr>
          <w:b/>
          <w:u w:val="single"/>
        </w:rPr>
      </w:pPr>
      <w:r w:rsidRPr="004D597C">
        <w:rPr>
          <w:b/>
        </w:rPr>
        <w:t>Table of Contents</w:t>
      </w:r>
    </w:p>
    <w:p w14:paraId="5A755213" w14:textId="1762519C" w:rsidR="00594E34" w:rsidRPr="004D597C" w:rsidRDefault="00594E34" w:rsidP="00D71354">
      <w:pPr>
        <w:tabs>
          <w:tab w:val="left" w:pos="0"/>
        </w:tabs>
        <w:rPr>
          <w:b/>
          <w:u w:val="single"/>
        </w:rPr>
      </w:pPr>
      <w:r w:rsidRPr="004D597C">
        <w:rPr>
          <w:b/>
        </w:rPr>
        <w:t>Abbreviations and acronyms</w:t>
      </w:r>
    </w:p>
    <w:p w14:paraId="5995F01D" w14:textId="1936B876" w:rsidR="00755001" w:rsidRPr="004D597C" w:rsidRDefault="00B82F81" w:rsidP="00D71354">
      <w:pPr>
        <w:tabs>
          <w:tab w:val="left" w:pos="0"/>
        </w:tabs>
        <w:rPr>
          <w:u w:val="single"/>
        </w:rPr>
      </w:pPr>
      <w:r>
        <w:rPr>
          <w:b/>
          <w:u w:val="single"/>
        </w:rPr>
        <w:t xml:space="preserve">1. </w:t>
      </w:r>
      <w:r w:rsidR="00B45B4E" w:rsidRPr="004D597C">
        <w:rPr>
          <w:b/>
          <w:u w:val="single"/>
        </w:rPr>
        <w:t>Introduction</w:t>
      </w:r>
    </w:p>
    <w:p w14:paraId="6829616F" w14:textId="21B5BBEF" w:rsidR="00A54E7A" w:rsidRPr="004D597C" w:rsidRDefault="00A54E7A" w:rsidP="00A54E7A">
      <w:pPr>
        <w:spacing w:after="240" w:line="240" w:lineRule="auto"/>
        <w:rPr>
          <w:rFonts w:ascii="Times New Roman" w:hAnsi="Times New Roman" w:cs="Times New Roman"/>
          <w:sz w:val="24"/>
          <w:szCs w:val="24"/>
          <w:lang w:eastAsia="ja-JP"/>
        </w:rPr>
      </w:pPr>
      <w:r w:rsidRPr="004D597C">
        <w:t xml:space="preserve">This should include a summary of the </w:t>
      </w:r>
      <w:r w:rsidRPr="004D597C">
        <w:rPr>
          <w:rFonts w:eastAsia="MS Mincho"/>
          <w:lang w:eastAsia="ja-JP"/>
        </w:rPr>
        <w:t xml:space="preserve">background/problem formulation, </w:t>
      </w:r>
      <w:r w:rsidRPr="004D597C">
        <w:t>purpose, endpoints covered and description of the target chemical(s)/category</w:t>
      </w:r>
      <w:r w:rsidRPr="004D597C">
        <w:rPr>
          <w:rFonts w:eastAsia="MS Mincho"/>
          <w:lang w:eastAsia="ja-JP"/>
        </w:rPr>
        <w:t>, assessment approach</w:t>
      </w:r>
      <w:r w:rsidR="00D6768D">
        <w:rPr>
          <w:rFonts w:eastAsia="MS Mincho"/>
          <w:lang w:eastAsia="ja-JP"/>
        </w:rPr>
        <w:t>.</w:t>
      </w:r>
      <w:r w:rsidRPr="004D597C">
        <w:t xml:space="preserve"> </w:t>
      </w:r>
      <w:r w:rsidRPr="004D597C">
        <w:rPr>
          <w:rFonts w:ascii="Times New Roman" w:hAnsi="Times New Roman" w:cs="Times New Roman"/>
          <w:sz w:val="24"/>
          <w:szCs w:val="24"/>
          <w:lang w:eastAsia="ja-JP"/>
        </w:rPr>
        <w:t xml:space="preserve"> </w:t>
      </w:r>
    </w:p>
    <w:p w14:paraId="0F24EE8E" w14:textId="47C73DC4" w:rsidR="009B024E" w:rsidRPr="004860C4" w:rsidRDefault="00B82F81" w:rsidP="005859FE">
      <w:pPr>
        <w:tabs>
          <w:tab w:val="left" w:pos="0"/>
        </w:tabs>
        <w:rPr>
          <w:b/>
          <w:u w:val="single"/>
        </w:rPr>
      </w:pPr>
      <w:r>
        <w:rPr>
          <w:b/>
          <w:u w:val="single"/>
        </w:rPr>
        <w:t>2</w:t>
      </w:r>
      <w:r w:rsidR="00B45B4E" w:rsidRPr="004860C4">
        <w:rPr>
          <w:b/>
          <w:u w:val="single"/>
        </w:rPr>
        <w:t xml:space="preserve">. </w:t>
      </w:r>
      <w:r w:rsidR="00FC1776" w:rsidRPr="004860C4">
        <w:rPr>
          <w:b/>
          <w:u w:val="single"/>
        </w:rPr>
        <w:t>Purpose</w:t>
      </w:r>
    </w:p>
    <w:p w14:paraId="16E071E4" w14:textId="77777777" w:rsidR="005129FA" w:rsidRPr="00B82F81" w:rsidRDefault="00A16683" w:rsidP="005129FA">
      <w:pPr>
        <w:tabs>
          <w:tab w:val="left" w:pos="0"/>
        </w:tabs>
        <w:spacing w:after="0"/>
      </w:pPr>
      <w:r w:rsidRPr="00B82F81">
        <w:t xml:space="preserve">a. </w:t>
      </w:r>
      <w:r w:rsidR="005129FA" w:rsidRPr="00B82F81">
        <w:t>Purpose of use</w:t>
      </w:r>
    </w:p>
    <w:p w14:paraId="3B7DE310" w14:textId="42E822C4" w:rsidR="006100B7" w:rsidRPr="00B82F81" w:rsidRDefault="00437810" w:rsidP="006100B7">
      <w:pPr>
        <w:pStyle w:val="ListParagraph"/>
        <w:tabs>
          <w:tab w:val="left" w:pos="284"/>
        </w:tabs>
        <w:ind w:left="284"/>
        <w:rPr>
          <w:rFonts w:ascii="Times New Roman" w:hAnsi="Times New Roman" w:cs="Times New Roman"/>
          <w:sz w:val="24"/>
          <w:szCs w:val="24"/>
          <w:lang w:eastAsia="ja-JP"/>
        </w:rPr>
      </w:pPr>
      <w:r w:rsidRPr="00B82F81">
        <w:t xml:space="preserve">Indicate the regulatory relevance (i.e. intended application) of the IATA. This may be: a)screening for priority setting in view of further evaluation; b) hazard identification/characterisation; c) risk assessment; d) other (please specify). If more than one purpose </w:t>
      </w:r>
      <w:r w:rsidR="00A51AB3" w:rsidRPr="00B82F81">
        <w:t xml:space="preserve">is </w:t>
      </w:r>
      <w:r w:rsidRPr="00B82F81">
        <w:t xml:space="preserve">possible, please </w:t>
      </w:r>
      <w:r w:rsidR="00E54F3B" w:rsidRPr="00B82F81">
        <w:rPr>
          <w:rFonts w:eastAsia="MS Mincho"/>
          <w:lang w:eastAsia="ja-JP"/>
        </w:rPr>
        <w:t xml:space="preserve">specify </w:t>
      </w:r>
      <w:r w:rsidR="006100B7" w:rsidRPr="00B82F81">
        <w:t>th</w:t>
      </w:r>
      <w:r w:rsidR="00682C03" w:rsidRPr="00B82F81">
        <w:rPr>
          <w:rFonts w:eastAsia="MS Mincho"/>
          <w:lang w:eastAsia="ja-JP"/>
        </w:rPr>
        <w:t>e</w:t>
      </w:r>
      <w:r w:rsidR="0018602D" w:rsidRPr="00B82F81">
        <w:rPr>
          <w:rFonts w:eastAsia="MS Mincho"/>
          <w:lang w:eastAsia="ja-JP"/>
        </w:rPr>
        <w:t xml:space="preserve"> </w:t>
      </w:r>
      <w:r w:rsidR="00366DF1" w:rsidRPr="00B82F81">
        <w:rPr>
          <w:rFonts w:eastAsia="MS Mincho"/>
          <w:lang w:eastAsia="ja-JP"/>
        </w:rPr>
        <w:t xml:space="preserve"> </w:t>
      </w:r>
      <w:r w:rsidR="0071169A" w:rsidRPr="00B82F81">
        <w:rPr>
          <w:rFonts w:eastAsia="MS Mincho"/>
          <w:lang w:eastAsia="ja-JP"/>
        </w:rPr>
        <w:t xml:space="preserve"> purpose</w:t>
      </w:r>
      <w:r w:rsidR="006100B7" w:rsidRPr="00B82F81">
        <w:t xml:space="preserve"> </w:t>
      </w:r>
      <w:r w:rsidR="0071169A" w:rsidRPr="00B82F81">
        <w:rPr>
          <w:rFonts w:eastAsia="MS Mincho"/>
          <w:lang w:eastAsia="ja-JP"/>
        </w:rPr>
        <w:t>as</w:t>
      </w:r>
      <w:r w:rsidR="006100B7" w:rsidRPr="00B82F81">
        <w:t xml:space="preserve"> d)</w:t>
      </w:r>
      <w:r w:rsidR="00E54F3B" w:rsidRPr="00B82F81">
        <w:rPr>
          <w:rFonts w:eastAsia="MS Mincho"/>
          <w:lang w:eastAsia="ja-JP"/>
        </w:rPr>
        <w:t xml:space="preserve"> other</w:t>
      </w:r>
      <w:r w:rsidR="006100B7" w:rsidRPr="00B82F81">
        <w:t>.</w:t>
      </w:r>
      <w:r w:rsidR="002F5037" w:rsidRPr="00B82F81">
        <w:t xml:space="preserve"> If the IATA is used for low toxicity prediction, please define</w:t>
      </w:r>
      <w:r w:rsidR="00587AC5" w:rsidRPr="00B82F81">
        <w:t xml:space="preserve"> what is meant by ‘</w:t>
      </w:r>
      <w:r w:rsidR="002F5037" w:rsidRPr="00B82F81">
        <w:t>low toxicity</w:t>
      </w:r>
      <w:r w:rsidR="00587AC5" w:rsidRPr="00B82F81">
        <w:t>’</w:t>
      </w:r>
      <w:r w:rsidR="00882F35" w:rsidRPr="00B82F81">
        <w:t xml:space="preserve"> </w:t>
      </w:r>
      <w:r w:rsidR="00587AC5" w:rsidRPr="00B82F81">
        <w:t>for the purposes of the particular case study</w:t>
      </w:r>
      <w:r w:rsidR="002F5037" w:rsidRPr="00B82F81">
        <w:t>.</w:t>
      </w:r>
      <w:r w:rsidR="006100B7" w:rsidRPr="00B82F81">
        <w:rPr>
          <w:rFonts w:ascii="Times New Roman" w:hAnsi="Times New Roman" w:cs="Times New Roman"/>
          <w:sz w:val="24"/>
          <w:szCs w:val="24"/>
          <w:lang w:eastAsia="ja-JP"/>
        </w:rPr>
        <w:t xml:space="preserve"> </w:t>
      </w:r>
    </w:p>
    <w:p w14:paraId="677CAF3B" w14:textId="07243FF0" w:rsidR="005129FA" w:rsidRPr="00B82F81" w:rsidRDefault="00CB325D" w:rsidP="00437810">
      <w:pPr>
        <w:pStyle w:val="ListParagraph"/>
        <w:tabs>
          <w:tab w:val="left" w:pos="284"/>
        </w:tabs>
        <w:ind w:left="284"/>
      </w:pPr>
      <w:r w:rsidRPr="00B82F81">
        <w:t xml:space="preserve">If </w:t>
      </w:r>
      <w:r w:rsidR="00032DB2" w:rsidRPr="00B82F81">
        <w:t>in</w:t>
      </w:r>
      <w:r w:rsidRPr="00B82F81">
        <w:t xml:space="preserve"> a regulatory context, provide a short </w:t>
      </w:r>
      <w:r w:rsidR="007C3D02" w:rsidRPr="00B82F81">
        <w:t xml:space="preserve">but sufficient </w:t>
      </w:r>
      <w:r w:rsidRPr="00B82F81">
        <w:t xml:space="preserve">description of </w:t>
      </w:r>
      <w:r w:rsidR="00032DB2" w:rsidRPr="00B82F81">
        <w:t xml:space="preserve">any </w:t>
      </w:r>
      <w:r w:rsidR="00AA7313" w:rsidRPr="00B82F81">
        <w:t>(e</w:t>
      </w:r>
      <w:r w:rsidR="00B45B4E" w:rsidRPr="00B82F81">
        <w:t>.</w:t>
      </w:r>
      <w:r w:rsidR="00AA7313" w:rsidRPr="00B82F81">
        <w:t xml:space="preserve">g. legal) </w:t>
      </w:r>
      <w:r w:rsidRPr="00B82F81">
        <w:t xml:space="preserve">requirements for </w:t>
      </w:r>
      <w:r w:rsidR="00032DB2" w:rsidRPr="00B82F81">
        <w:t xml:space="preserve">the </w:t>
      </w:r>
      <w:r w:rsidRPr="00B82F81">
        <w:t>IATA approach to be accepted.</w:t>
      </w:r>
    </w:p>
    <w:p w14:paraId="355B6325" w14:textId="77777777" w:rsidR="00AF63F0" w:rsidRPr="00B82F81" w:rsidRDefault="00A16683" w:rsidP="006B390B">
      <w:pPr>
        <w:tabs>
          <w:tab w:val="left" w:pos="0"/>
        </w:tabs>
        <w:spacing w:after="0"/>
      </w:pPr>
      <w:r w:rsidRPr="00B82F81">
        <w:t xml:space="preserve">b. </w:t>
      </w:r>
      <w:r w:rsidR="009B024E" w:rsidRPr="00B82F81">
        <w:t>Target chemical</w:t>
      </w:r>
      <w:r w:rsidR="006B390B" w:rsidRPr="00B82F81">
        <w:t>(s)</w:t>
      </w:r>
    </w:p>
    <w:p w14:paraId="0DF74DD3" w14:textId="257AD3B2" w:rsidR="00A54E7A" w:rsidRPr="00C05870" w:rsidRDefault="00A54E7A" w:rsidP="00A54E7A">
      <w:pPr>
        <w:spacing w:after="240" w:line="240" w:lineRule="auto"/>
        <w:ind w:left="284"/>
        <w:rPr>
          <w:rFonts w:ascii="Times New Roman" w:hAnsi="Times New Roman" w:cs="Times New Roman"/>
          <w:sz w:val="24"/>
          <w:szCs w:val="24"/>
          <w:lang w:eastAsia="ja-JP"/>
        </w:rPr>
      </w:pPr>
      <w:r w:rsidRPr="00B82F81">
        <w:t>Provide the chemical descriptor common identifiers (including CAS number, name and composition including impurities</w:t>
      </w:r>
      <w:r w:rsidR="005D0798" w:rsidRPr="00B82F81">
        <w:t xml:space="preserve"> </w:t>
      </w:r>
      <w:r w:rsidR="005D0798" w:rsidRPr="00B82F81">
        <w:rPr>
          <w:rFonts w:eastAsia="MS Mincho"/>
          <w:lang w:eastAsia="ja-JP"/>
        </w:rPr>
        <w:t>[See 3.2.3.1 “</w:t>
      </w:r>
      <w:r w:rsidR="005D0798" w:rsidRPr="00B82F81">
        <w:rPr>
          <w:rFonts w:eastAsia="MS Mincho"/>
          <w:i/>
          <w:lang w:eastAsia="ja-JP"/>
        </w:rPr>
        <w:t xml:space="preserve">Chemical identity and composition </w:t>
      </w:r>
      <w:r w:rsidR="005D0798" w:rsidRPr="00B82F81">
        <w:rPr>
          <w:rFonts w:eastAsia="MS Mincho"/>
          <w:lang w:eastAsia="ja-JP"/>
        </w:rPr>
        <w:t>of the grouping guidance</w:t>
      </w:r>
      <w:r w:rsidR="005D0798" w:rsidRPr="00B82F81">
        <w:rPr>
          <w:rFonts w:eastAsia="MS Mincho"/>
          <w:i/>
          <w:lang w:eastAsia="ja-JP"/>
        </w:rPr>
        <w:t xml:space="preserve"> </w:t>
      </w:r>
      <w:r w:rsidR="005D0798" w:rsidRPr="00B82F81">
        <w:rPr>
          <w:rFonts w:eastAsia="MS Mincho"/>
          <w:lang w:eastAsia="ja-JP"/>
        </w:rPr>
        <w:t>(</w:t>
      </w:r>
      <w:hyperlink r:id="rId12" w:history="1">
        <w:r w:rsidR="005D0798" w:rsidRPr="00C05870">
          <w:rPr>
            <w:rStyle w:val="Hyperlink"/>
            <w:rFonts w:eastAsia="MS Mincho"/>
            <w:lang w:eastAsia="ja-JP"/>
          </w:rPr>
          <w:t>OECD, 2014a</w:t>
        </w:r>
      </w:hyperlink>
      <w:r w:rsidR="005D0798" w:rsidRPr="00C05870">
        <w:rPr>
          <w:rFonts w:eastAsia="MS Mincho"/>
          <w:lang w:eastAsia="ja-JP"/>
        </w:rPr>
        <w:t>)]</w:t>
      </w:r>
      <w:r w:rsidRPr="00C05870">
        <w:t>) and chemical structure(s) of the target substance(s).</w:t>
      </w:r>
      <w:r w:rsidR="00EF7C6F" w:rsidRPr="00C05870">
        <w:rPr>
          <w:rFonts w:eastAsia="MS Mincho"/>
          <w:lang w:eastAsia="ja-JP"/>
        </w:rPr>
        <w:t xml:space="preserve"> </w:t>
      </w:r>
      <w:r w:rsidR="008A59BA" w:rsidRPr="004D597C">
        <w:rPr>
          <w:rFonts w:eastAsia="MS Mincho"/>
          <w:lang w:eastAsia="ja-JP"/>
        </w:rPr>
        <w:t xml:space="preserve">In some case studies, target chemicals may be entire chemical classes or the IATA illustrated may be generic. Or if </w:t>
      </w:r>
      <w:r w:rsidR="00EF7C6F" w:rsidRPr="004D597C">
        <w:rPr>
          <w:rFonts w:eastAsia="MS Mincho"/>
          <w:lang w:eastAsia="ja-JP"/>
        </w:rPr>
        <w:t>there are no specific</w:t>
      </w:r>
      <w:r w:rsidR="00FE1B62" w:rsidRPr="004D597C">
        <w:rPr>
          <w:rFonts w:eastAsia="MS Mincho"/>
          <w:lang w:eastAsia="ja-JP"/>
        </w:rPr>
        <w:t xml:space="preserve"> target</w:t>
      </w:r>
      <w:r w:rsidR="00EF7C6F" w:rsidRPr="004D597C">
        <w:rPr>
          <w:rFonts w:eastAsia="MS Mincho"/>
          <w:lang w:eastAsia="ja-JP"/>
        </w:rPr>
        <w:t xml:space="preserve"> chemicals, example chemicals </w:t>
      </w:r>
      <w:r w:rsidR="008A59BA" w:rsidRPr="004D597C">
        <w:rPr>
          <w:rFonts w:eastAsia="MS Mincho"/>
          <w:lang w:eastAsia="ja-JP"/>
        </w:rPr>
        <w:t xml:space="preserve">can be used to illustrate the IATA </w:t>
      </w:r>
      <w:r w:rsidR="00EF7C6F" w:rsidRPr="004D597C">
        <w:rPr>
          <w:rFonts w:eastAsia="MS Mincho"/>
          <w:lang w:eastAsia="ja-JP"/>
        </w:rPr>
        <w:t>(</w:t>
      </w:r>
      <w:r w:rsidR="00A767BB" w:rsidRPr="004D597C">
        <w:rPr>
          <w:rFonts w:eastAsia="MS Mincho"/>
          <w:lang w:eastAsia="ja-JP"/>
        </w:rPr>
        <w:t>SEE</w:t>
      </w:r>
      <w:r w:rsidR="00EF7C6F" w:rsidRPr="004D597C">
        <w:rPr>
          <w:rFonts w:eastAsia="MS Mincho"/>
          <w:lang w:eastAsia="ja-JP"/>
        </w:rPr>
        <w:t xml:space="preserve"> </w:t>
      </w:r>
      <w:r w:rsidR="002233B9" w:rsidRPr="004D597C">
        <w:rPr>
          <w:rFonts w:eastAsia="MS Mincho"/>
          <w:lang w:eastAsia="ja-JP"/>
        </w:rPr>
        <w:t xml:space="preserve">“1. PURPOSE” or “3. RESULTS OF ERC PRIORITISATION” of </w:t>
      </w:r>
      <w:r w:rsidR="004F5F53" w:rsidRPr="004D597C">
        <w:rPr>
          <w:rFonts w:eastAsia="MS Mincho"/>
          <w:lang w:eastAsia="ja-JP"/>
        </w:rPr>
        <w:t xml:space="preserve">the </w:t>
      </w:r>
      <w:r w:rsidR="004F5F53" w:rsidRPr="004D597C">
        <w:rPr>
          <w:rStyle w:val="Hyperlink"/>
          <w:rFonts w:eastAsia="MS Mincho"/>
          <w:color w:val="auto"/>
          <w:u w:val="none"/>
          <w:lang w:eastAsia="ja-JP"/>
        </w:rPr>
        <w:t>c</w:t>
      </w:r>
      <w:r w:rsidR="00EF7C6F" w:rsidRPr="004D597C">
        <w:rPr>
          <w:rStyle w:val="Hyperlink"/>
          <w:rFonts w:eastAsia="MS Mincho"/>
          <w:color w:val="auto"/>
          <w:u w:val="none"/>
          <w:lang w:eastAsia="ja-JP"/>
        </w:rPr>
        <w:t>ase study 2017-2</w:t>
      </w:r>
      <w:r w:rsidR="004F5F53" w:rsidRPr="004D597C">
        <w:rPr>
          <w:rFonts w:eastAsia="MS Mincho"/>
          <w:lang w:eastAsia="ja-JP"/>
        </w:rPr>
        <w:t xml:space="preserve"> (</w:t>
      </w:r>
      <w:hyperlink r:id="rId13" w:history="1">
        <w:r w:rsidR="004F5F53" w:rsidRPr="00C05870">
          <w:rPr>
            <w:rStyle w:val="Hyperlink"/>
            <w:rFonts w:eastAsia="MS Mincho"/>
            <w:lang w:eastAsia="ja-JP"/>
          </w:rPr>
          <w:t xml:space="preserve">OECD, </w:t>
        </w:r>
        <w:r w:rsidR="004F5F53" w:rsidRPr="00C05870">
          <w:rPr>
            <w:rStyle w:val="Hyperlink"/>
            <w:rFonts w:eastAsia="MS Mincho"/>
            <w:lang w:eastAsia="ja-JP"/>
          </w:rPr>
          <w:lastRenderedPageBreak/>
          <w:t>2018</w:t>
        </w:r>
        <w:r w:rsidR="00F06098" w:rsidRPr="00642FF1">
          <w:rPr>
            <w:rStyle w:val="Hyperlink"/>
            <w:rFonts w:eastAsia="MS Mincho"/>
            <w:lang w:eastAsia="ja-JP"/>
          </w:rPr>
          <w:t>b</w:t>
        </w:r>
      </w:hyperlink>
      <w:r w:rsidR="004F5F53" w:rsidRPr="00C05870">
        <w:rPr>
          <w:rFonts w:eastAsia="MS Mincho"/>
          <w:lang w:eastAsia="ja-JP"/>
        </w:rPr>
        <w:t>)</w:t>
      </w:r>
      <w:r w:rsidR="00165E74" w:rsidRPr="00C05870">
        <w:rPr>
          <w:rFonts w:eastAsia="MS Mincho"/>
          <w:lang w:eastAsia="ja-JP"/>
        </w:rPr>
        <w:t xml:space="preserve"> and</w:t>
      </w:r>
      <w:r w:rsidR="002233B9" w:rsidRPr="00C05870">
        <w:rPr>
          <w:rFonts w:eastAsia="MS Mincho"/>
          <w:lang w:eastAsia="ja-JP"/>
        </w:rPr>
        <w:t xml:space="preserve"> “</w:t>
      </w:r>
      <w:r w:rsidR="0030040E" w:rsidRPr="004D597C">
        <w:rPr>
          <w:rFonts w:eastAsia="MS Mincho"/>
          <w:lang w:eastAsia="ja-JP"/>
        </w:rPr>
        <w:t>1.2</w:t>
      </w:r>
      <w:r w:rsidR="002233B9" w:rsidRPr="004D597C">
        <w:rPr>
          <w:rFonts w:eastAsia="MS Mincho"/>
          <w:lang w:eastAsia="ja-JP"/>
        </w:rPr>
        <w:t>. Target Chemical(s)” at the section “</w:t>
      </w:r>
      <w:r w:rsidR="0030040E" w:rsidRPr="004D597C">
        <w:rPr>
          <w:rFonts w:eastAsia="MS Mincho"/>
          <w:lang w:eastAsia="ja-JP"/>
        </w:rPr>
        <w:t>1</w:t>
      </w:r>
      <w:r w:rsidR="002233B9" w:rsidRPr="004D597C">
        <w:rPr>
          <w:rFonts w:eastAsia="MS Mincho"/>
          <w:lang w:eastAsia="ja-JP"/>
        </w:rPr>
        <w:t>. Purpose” of</w:t>
      </w:r>
      <w:r w:rsidR="00165E74" w:rsidRPr="004D597C">
        <w:rPr>
          <w:rFonts w:eastAsia="MS Mincho"/>
          <w:lang w:eastAsia="ja-JP"/>
        </w:rPr>
        <w:t xml:space="preserve"> </w:t>
      </w:r>
      <w:r w:rsidR="00C66234" w:rsidRPr="004D597C">
        <w:rPr>
          <w:rFonts w:eastAsia="MS Mincho"/>
          <w:lang w:eastAsia="ja-JP"/>
        </w:rPr>
        <w:t>the c</w:t>
      </w:r>
      <w:r w:rsidR="00165E74" w:rsidRPr="004D597C">
        <w:rPr>
          <w:rFonts w:eastAsia="MS Mincho"/>
          <w:lang w:eastAsia="ja-JP"/>
        </w:rPr>
        <w:t xml:space="preserve">ase </w:t>
      </w:r>
      <w:r w:rsidR="00C66234" w:rsidRPr="004D597C">
        <w:rPr>
          <w:rFonts w:eastAsia="MS Mincho"/>
          <w:lang w:eastAsia="ja-JP"/>
        </w:rPr>
        <w:t>s</w:t>
      </w:r>
      <w:r w:rsidR="00165E74" w:rsidRPr="004D597C">
        <w:rPr>
          <w:rFonts w:eastAsia="MS Mincho"/>
          <w:lang w:eastAsia="ja-JP"/>
        </w:rPr>
        <w:t>tudy 2018-</w:t>
      </w:r>
      <w:r w:rsidR="00107D99" w:rsidRPr="004D597C">
        <w:rPr>
          <w:rFonts w:eastAsia="MS Mincho"/>
          <w:lang w:eastAsia="ja-JP"/>
        </w:rPr>
        <w:t>2</w:t>
      </w:r>
      <w:r w:rsidR="00C8646F" w:rsidRPr="004D597C">
        <w:rPr>
          <w:rFonts w:eastAsia="MS Mincho"/>
          <w:lang w:eastAsia="ja-JP"/>
        </w:rPr>
        <w:t xml:space="preserve"> (</w:t>
      </w:r>
      <w:hyperlink r:id="rId14" w:history="1">
        <w:r w:rsidR="00C8646F" w:rsidRPr="00C05870">
          <w:rPr>
            <w:rStyle w:val="Hyperlink"/>
            <w:rFonts w:eastAsia="MS Mincho"/>
            <w:lang w:eastAsia="ja-JP"/>
          </w:rPr>
          <w:t>OECD, 2019</w:t>
        </w:r>
        <w:r w:rsidR="003702AD" w:rsidRPr="00C05870">
          <w:rPr>
            <w:rStyle w:val="Hyperlink"/>
            <w:rFonts w:eastAsia="MS Mincho"/>
            <w:lang w:eastAsia="ja-JP"/>
          </w:rPr>
          <w:t>b</w:t>
        </w:r>
      </w:hyperlink>
      <w:r w:rsidR="00C8646F" w:rsidRPr="00C05870">
        <w:rPr>
          <w:rFonts w:eastAsia="MS Mincho"/>
          <w:lang w:eastAsia="ja-JP"/>
        </w:rPr>
        <w:t>)</w:t>
      </w:r>
      <w:r w:rsidR="00EF7C6F" w:rsidRPr="00C05870">
        <w:rPr>
          <w:rFonts w:eastAsia="MS Mincho"/>
          <w:lang w:eastAsia="ja-JP"/>
        </w:rPr>
        <w:t>).</w:t>
      </w:r>
      <w:r w:rsidRPr="00C05870">
        <w:rPr>
          <w:rFonts w:ascii="Times New Roman" w:hAnsi="Times New Roman" w:cs="Times New Roman"/>
          <w:sz w:val="24"/>
          <w:szCs w:val="24"/>
          <w:lang w:eastAsia="ja-JP"/>
        </w:rPr>
        <w:t xml:space="preserve"> </w:t>
      </w:r>
    </w:p>
    <w:p w14:paraId="637140C9" w14:textId="77777777" w:rsidR="00B45B4E" w:rsidRPr="004D597C" w:rsidRDefault="00A16683" w:rsidP="00B45B4E">
      <w:pPr>
        <w:tabs>
          <w:tab w:val="left" w:pos="0"/>
        </w:tabs>
        <w:spacing w:after="0"/>
      </w:pPr>
      <w:r w:rsidRPr="004D597C">
        <w:t xml:space="preserve">c. </w:t>
      </w:r>
      <w:r w:rsidR="00FC1776" w:rsidRPr="004D597C">
        <w:t>E</w:t>
      </w:r>
      <w:r w:rsidR="009B024E" w:rsidRPr="004D597C">
        <w:t>ndpoint</w:t>
      </w:r>
      <w:r w:rsidR="00E92C5B" w:rsidRPr="004D597C">
        <w:t>(</w:t>
      </w:r>
      <w:r w:rsidR="00FC1776" w:rsidRPr="004D597C">
        <w:t>s</w:t>
      </w:r>
      <w:r w:rsidR="00E92C5B" w:rsidRPr="004D597C">
        <w:t>)</w:t>
      </w:r>
      <w:r w:rsidR="00992901" w:rsidRPr="004D597C">
        <w:t xml:space="preserve"> </w:t>
      </w:r>
    </w:p>
    <w:p w14:paraId="0ACF5483" w14:textId="77777777" w:rsidR="00A16683" w:rsidRPr="004D597C" w:rsidRDefault="00B45B4E" w:rsidP="00A54E7A">
      <w:pPr>
        <w:tabs>
          <w:tab w:val="left" w:pos="0"/>
        </w:tabs>
        <w:spacing w:after="240"/>
        <w:rPr>
          <w:b/>
        </w:rPr>
      </w:pPr>
      <w:r w:rsidRPr="004D597C">
        <w:t xml:space="preserve">      </w:t>
      </w:r>
      <w:r w:rsidR="00AF63F0" w:rsidRPr="004D597C">
        <w:t xml:space="preserve">Identify </w:t>
      </w:r>
      <w:r w:rsidR="004E1347" w:rsidRPr="004D597C">
        <w:t>the endpoint</w:t>
      </w:r>
      <w:r w:rsidR="00E92C5B" w:rsidRPr="004D597C">
        <w:t>(</w:t>
      </w:r>
      <w:r w:rsidR="004E1347" w:rsidRPr="004D597C">
        <w:t>s</w:t>
      </w:r>
      <w:r w:rsidR="00E92C5B" w:rsidRPr="004D597C">
        <w:t>)</w:t>
      </w:r>
      <w:r w:rsidR="004E1347" w:rsidRPr="004D597C">
        <w:t xml:space="preserve"> for which the </w:t>
      </w:r>
      <w:r w:rsidR="00A16683" w:rsidRPr="004D597C">
        <w:t>IATA</w:t>
      </w:r>
      <w:r w:rsidR="004E1347" w:rsidRPr="004D597C">
        <w:t xml:space="preserve"> is applied</w:t>
      </w:r>
      <w:r w:rsidR="00FB6F14" w:rsidRPr="004D597C">
        <w:t>.</w:t>
      </w:r>
      <w:r w:rsidR="00F81C78" w:rsidRPr="004D597C">
        <w:t xml:space="preserve"> </w:t>
      </w:r>
    </w:p>
    <w:p w14:paraId="4EE9D1DF" w14:textId="77777777" w:rsidR="00A54E7A" w:rsidRPr="004D597C" w:rsidRDefault="00A54E7A" w:rsidP="00A54E7A">
      <w:pPr>
        <w:tabs>
          <w:tab w:val="left" w:pos="0"/>
        </w:tabs>
        <w:spacing w:after="0"/>
        <w:rPr>
          <w:rFonts w:eastAsia="MS Mincho"/>
          <w:lang w:eastAsia="ja-JP"/>
        </w:rPr>
      </w:pPr>
      <w:r w:rsidRPr="004D597C">
        <w:rPr>
          <w:rFonts w:eastAsia="MS Mincho"/>
          <w:lang w:eastAsia="ja-JP"/>
        </w:rPr>
        <w:t xml:space="preserve">d. </w:t>
      </w:r>
      <w:r w:rsidR="006100B7" w:rsidRPr="004D597C">
        <w:rPr>
          <w:rFonts w:eastAsia="MS Mincho"/>
          <w:lang w:eastAsia="ja-JP"/>
        </w:rPr>
        <w:t>E</w:t>
      </w:r>
      <w:r w:rsidRPr="004D597C">
        <w:rPr>
          <w:rFonts w:eastAsia="MS Mincho"/>
          <w:lang w:eastAsia="ja-JP"/>
        </w:rPr>
        <w:t xml:space="preserve">xposure </w:t>
      </w:r>
      <w:r w:rsidR="006100B7" w:rsidRPr="004D597C">
        <w:rPr>
          <w:rFonts w:eastAsia="MS Mincho"/>
          <w:lang w:eastAsia="ja-JP"/>
        </w:rPr>
        <w:t xml:space="preserve">information </w:t>
      </w:r>
      <w:r w:rsidRPr="004D597C">
        <w:rPr>
          <w:rFonts w:eastAsia="MS Mincho"/>
          <w:lang w:eastAsia="ja-JP"/>
        </w:rPr>
        <w:t>(if needed)</w:t>
      </w:r>
    </w:p>
    <w:p w14:paraId="7B253F42" w14:textId="74182C74" w:rsidR="006100B7" w:rsidRPr="00B82F81" w:rsidRDefault="00A54E7A" w:rsidP="009D78A4">
      <w:pPr>
        <w:shd w:val="clear" w:color="auto" w:fill="FFFFFF" w:themeFill="background1"/>
        <w:tabs>
          <w:tab w:val="left" w:pos="284"/>
        </w:tabs>
        <w:spacing w:after="0"/>
        <w:ind w:left="284"/>
        <w:rPr>
          <w:rFonts w:eastAsia="MS Mincho"/>
          <w:lang w:eastAsia="ja-JP"/>
        </w:rPr>
      </w:pPr>
      <w:r w:rsidRPr="009B4A6A">
        <w:rPr>
          <w:rFonts w:eastAsia="MS Mincho"/>
          <w:lang w:eastAsia="ja-JP"/>
        </w:rPr>
        <w:t>Provide the considered exposure, such as route of exposure (dermal, oral and inhalation), type of exposure (consumer, occupation</w:t>
      </w:r>
      <w:r w:rsidR="00BE2E09" w:rsidRPr="00B82F81">
        <w:rPr>
          <w:rFonts w:eastAsia="MS Mincho"/>
          <w:lang w:eastAsia="ja-JP"/>
        </w:rPr>
        <w:t>al</w:t>
      </w:r>
      <w:r w:rsidRPr="00B82F81">
        <w:rPr>
          <w:rFonts w:eastAsia="MS Mincho"/>
          <w:lang w:eastAsia="ja-JP"/>
        </w:rPr>
        <w:t xml:space="preserve"> and environment)</w:t>
      </w:r>
      <w:r w:rsidR="00C97CDC" w:rsidRPr="00B82F81">
        <w:rPr>
          <w:rFonts w:eastAsia="MS Mincho"/>
          <w:lang w:eastAsia="ja-JP"/>
        </w:rPr>
        <w:t xml:space="preserve">, for example, </w:t>
      </w:r>
      <w:r w:rsidR="008A59BA" w:rsidRPr="00B82F81">
        <w:rPr>
          <w:rFonts w:eastAsia="MS Mincho"/>
          <w:lang w:eastAsia="ja-JP"/>
        </w:rPr>
        <w:t xml:space="preserve">if </w:t>
      </w:r>
      <w:r w:rsidR="00C97CDC" w:rsidRPr="00B82F81">
        <w:rPr>
          <w:rFonts w:eastAsia="MS Mincho"/>
          <w:lang w:eastAsia="ja-JP"/>
        </w:rPr>
        <w:t>the case study addresses prioriti</w:t>
      </w:r>
      <w:r w:rsidR="003702AD" w:rsidRPr="00B82F81">
        <w:rPr>
          <w:rFonts w:eastAsia="MS Mincho"/>
          <w:lang w:eastAsia="ja-JP"/>
        </w:rPr>
        <w:t>s</w:t>
      </w:r>
      <w:r w:rsidR="00C97CDC" w:rsidRPr="00B82F81">
        <w:rPr>
          <w:rFonts w:eastAsia="MS Mincho"/>
          <w:lang w:eastAsia="ja-JP"/>
        </w:rPr>
        <w:t>ation or chemical assessment work flow</w:t>
      </w:r>
      <w:r w:rsidR="008A59BA" w:rsidRPr="00B82F81">
        <w:rPr>
          <w:rFonts w:eastAsia="MS Mincho"/>
          <w:lang w:eastAsia="ja-JP"/>
        </w:rPr>
        <w:t>s</w:t>
      </w:r>
      <w:r w:rsidR="00C97CDC" w:rsidRPr="00B82F81">
        <w:rPr>
          <w:rFonts w:eastAsia="MS Mincho"/>
          <w:lang w:eastAsia="ja-JP"/>
        </w:rPr>
        <w:t>.</w:t>
      </w:r>
      <w:r w:rsidR="00BE2E09" w:rsidRPr="00B82F81">
        <w:rPr>
          <w:rFonts w:eastAsia="MS Mincho"/>
          <w:lang w:eastAsia="ja-JP"/>
        </w:rPr>
        <w:t xml:space="preserve"> The inclusion of this section and its level of detail/quantification will depend on the case study.</w:t>
      </w:r>
    </w:p>
    <w:p w14:paraId="5A2A6810" w14:textId="1C8E0425" w:rsidR="004D597C" w:rsidRPr="00132387" w:rsidRDefault="00A54E7A" w:rsidP="00132387">
      <w:pPr>
        <w:spacing w:after="240" w:line="240" w:lineRule="auto"/>
        <w:ind w:left="284"/>
        <w:rPr>
          <w:rFonts w:eastAsia="MS Mincho"/>
          <w:lang w:eastAsia="ja-JP"/>
        </w:rPr>
      </w:pPr>
      <w:r w:rsidRPr="00B82F81">
        <w:rPr>
          <w:rFonts w:ascii="Times New Roman" w:hAnsi="Times New Roman" w:cs="Times New Roman"/>
          <w:sz w:val="24"/>
          <w:szCs w:val="24"/>
          <w:lang w:eastAsia="ja-JP"/>
        </w:rPr>
        <w:t xml:space="preserve"> </w:t>
      </w:r>
      <w:r w:rsidR="00EF7C6F" w:rsidRPr="00B82F81">
        <w:rPr>
          <w:rFonts w:eastAsia="MS Mincho"/>
          <w:lang w:eastAsia="ja-JP"/>
        </w:rPr>
        <w:t xml:space="preserve">If relevant, please describe </w:t>
      </w:r>
      <w:r w:rsidR="006100B7" w:rsidRPr="00B82F81">
        <w:rPr>
          <w:rFonts w:eastAsia="MS Mincho"/>
          <w:lang w:eastAsia="ja-JP"/>
        </w:rPr>
        <w:t xml:space="preserve">extrapolation from </w:t>
      </w:r>
      <w:r w:rsidR="006100B7" w:rsidRPr="00B82F81">
        <w:rPr>
          <w:rFonts w:eastAsia="MS Mincho"/>
          <w:i/>
          <w:lang w:eastAsia="ja-JP"/>
        </w:rPr>
        <w:t>in vitro</w:t>
      </w:r>
      <w:r w:rsidR="006100B7" w:rsidRPr="00B82F81">
        <w:rPr>
          <w:rFonts w:eastAsia="MS Mincho"/>
          <w:lang w:eastAsia="ja-JP"/>
        </w:rPr>
        <w:t xml:space="preserve"> into </w:t>
      </w:r>
      <w:r w:rsidR="006100B7" w:rsidRPr="00B82F81">
        <w:rPr>
          <w:rFonts w:eastAsia="MS Mincho"/>
          <w:i/>
          <w:lang w:eastAsia="ja-JP"/>
        </w:rPr>
        <w:t>in vivo</w:t>
      </w:r>
      <w:r w:rsidR="00EF7C6F" w:rsidRPr="00B82F81">
        <w:rPr>
          <w:rFonts w:eastAsia="MS Mincho"/>
          <w:i/>
          <w:lang w:eastAsia="ja-JP"/>
        </w:rPr>
        <w:t>.</w:t>
      </w:r>
      <w:r w:rsidR="006100B7" w:rsidRPr="00B82F81">
        <w:rPr>
          <w:rFonts w:eastAsia="MS Mincho"/>
          <w:i/>
          <w:lang w:eastAsia="ja-JP"/>
        </w:rPr>
        <w:t xml:space="preserve"> </w:t>
      </w:r>
      <w:r w:rsidR="004D597C" w:rsidRPr="00132387">
        <w:rPr>
          <w:rFonts w:ascii="Times New Roman" w:hAnsi="Times New Roman" w:cs="Times New Roman"/>
          <w:sz w:val="24"/>
          <w:szCs w:val="24"/>
          <w:lang w:eastAsia="ja-JP"/>
        </w:rPr>
        <w:t xml:space="preserve"> </w:t>
      </w:r>
    </w:p>
    <w:p w14:paraId="56E41039" w14:textId="0A8915C6" w:rsidR="004D597C" w:rsidRPr="00132387" w:rsidRDefault="004D597C" w:rsidP="00132387">
      <w:pPr>
        <w:tabs>
          <w:tab w:val="left" w:pos="426"/>
        </w:tabs>
        <w:rPr>
          <w:rFonts w:eastAsia="MS Mincho"/>
          <w:lang w:eastAsia="ja-JP"/>
        </w:rPr>
      </w:pPr>
      <w:r>
        <w:rPr>
          <w:noProof/>
          <w:lang w:eastAsia="ja-JP"/>
        </w:rPr>
        <mc:AlternateContent>
          <mc:Choice Requires="wps">
            <w:drawing>
              <wp:inline distT="0" distB="0" distL="0" distR="0" wp14:anchorId="6534624E" wp14:editId="62F89087">
                <wp:extent cx="5705475" cy="1657350"/>
                <wp:effectExtent l="0" t="0" r="2857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57350"/>
                        </a:xfrm>
                        <a:prstGeom prst="rect">
                          <a:avLst/>
                        </a:prstGeom>
                        <a:solidFill>
                          <a:srgbClr val="FFFFFF"/>
                        </a:solidFill>
                        <a:ln w="9525">
                          <a:solidFill>
                            <a:srgbClr val="000000"/>
                          </a:solidFill>
                          <a:miter lim="800000"/>
                          <a:headEnd/>
                          <a:tailEnd/>
                        </a:ln>
                      </wps:spPr>
                      <wps:txbx>
                        <w:txbxContent>
                          <w:p w14:paraId="55C7FF13" w14:textId="77777777" w:rsidR="00952B38" w:rsidRPr="00DC2B2A" w:rsidRDefault="00952B38" w:rsidP="004D597C">
                            <w:pPr>
                              <w:spacing w:after="0" w:line="240" w:lineRule="auto"/>
                              <w:rPr>
                                <w:rFonts w:eastAsia="MS Mincho"/>
                                <w:lang w:eastAsia="ja-JP"/>
                              </w:rPr>
                            </w:pPr>
                            <w:r w:rsidRPr="00DC2B2A">
                              <w:rPr>
                                <w:rFonts w:eastAsia="MS Mincho"/>
                                <w:lang w:eastAsia="ja-JP"/>
                              </w:rPr>
                              <w:t>Tip</w:t>
                            </w:r>
                          </w:p>
                          <w:p w14:paraId="7491676C" w14:textId="7C0C2446" w:rsidR="00952B38" w:rsidRPr="009164CA" w:rsidRDefault="00952B38" w:rsidP="004D597C">
                            <w:pPr>
                              <w:pStyle w:val="ListParagraph"/>
                              <w:numPr>
                                <w:ilvl w:val="0"/>
                                <w:numId w:val="21"/>
                              </w:numPr>
                              <w:spacing w:after="0" w:line="240" w:lineRule="auto"/>
                              <w:ind w:left="284" w:hanging="284"/>
                              <w:rPr>
                                <w:rFonts w:eastAsia="MS Mincho"/>
                                <w:lang w:eastAsia="ja-JP"/>
                              </w:rPr>
                            </w:pPr>
                            <w:r w:rsidRPr="00DC2B2A">
                              <w:rPr>
                                <w:rFonts w:eastAsia="MS Mincho"/>
                                <w:lang w:eastAsia="ja-JP"/>
                              </w:rPr>
                              <w:t>The description of the purpose of use is important for considering the acceptable uncertainty of the case study</w:t>
                            </w:r>
                            <w:r w:rsidRPr="009164CA">
                              <w:rPr>
                                <w:rFonts w:eastAsia="MS Mincho"/>
                                <w:lang w:eastAsia="ja-JP"/>
                              </w:rPr>
                              <w:t>, which could be linked to the uncertainty assessment.  For example, if the conclusion derived by case study is renewable in a framework such as tiered-approach, this needs to be clearly stated (</w:t>
                            </w:r>
                            <w:r>
                              <w:rPr>
                                <w:rFonts w:eastAsia="MS Mincho"/>
                                <w:lang w:eastAsia="ja-JP"/>
                              </w:rPr>
                              <w:t xml:space="preserve">see case studies </w:t>
                            </w:r>
                            <w:hyperlink r:id="rId15" w:history="1">
                              <w:r w:rsidRPr="00007345">
                                <w:rPr>
                                  <w:rStyle w:val="Hyperlink"/>
                                  <w:rFonts w:eastAsia="MS Mincho"/>
                                  <w:lang w:eastAsia="ja-JP"/>
                                </w:rPr>
                                <w:t>OECD, 2016</w:t>
                              </w:r>
                              <w:r>
                                <w:rPr>
                                  <w:rStyle w:val="Hyperlink"/>
                                  <w:rFonts w:eastAsia="MS Mincho"/>
                                  <w:lang w:eastAsia="ja-JP"/>
                                </w:rPr>
                                <w:t>a</w:t>
                              </w:r>
                            </w:hyperlink>
                            <w:r>
                              <w:rPr>
                                <w:rFonts w:eastAsia="MS Mincho"/>
                                <w:lang w:eastAsia="ja-JP"/>
                              </w:rPr>
                              <w:t xml:space="preserve"> and </w:t>
                            </w:r>
                            <w:hyperlink r:id="rId16" w:history="1">
                              <w:r w:rsidRPr="00007345">
                                <w:rPr>
                                  <w:rStyle w:val="Hyperlink"/>
                                  <w:rFonts w:eastAsia="MS Mincho"/>
                                  <w:lang w:eastAsia="ja-JP"/>
                                </w:rPr>
                                <w:t>2016</w:t>
                              </w:r>
                              <w:r>
                                <w:rPr>
                                  <w:rStyle w:val="Hyperlink"/>
                                  <w:rFonts w:eastAsia="MS Mincho"/>
                                  <w:lang w:eastAsia="ja-JP"/>
                                </w:rPr>
                                <w:t>b</w:t>
                              </w:r>
                            </w:hyperlink>
                            <w:r w:rsidRPr="009164CA">
                              <w:rPr>
                                <w:rFonts w:eastAsia="MS Mincho"/>
                                <w:lang w:eastAsia="ja-JP"/>
                              </w:rPr>
                              <w:t>).</w:t>
                            </w:r>
                          </w:p>
                          <w:p w14:paraId="09398D2E" w14:textId="77777777" w:rsidR="00952B38" w:rsidRPr="009164CA" w:rsidRDefault="00952B38" w:rsidP="004D597C">
                            <w:pPr>
                              <w:pStyle w:val="ListParagraph"/>
                              <w:numPr>
                                <w:ilvl w:val="0"/>
                                <w:numId w:val="21"/>
                              </w:numPr>
                              <w:spacing w:after="0" w:line="240" w:lineRule="auto"/>
                              <w:ind w:left="284" w:hanging="284"/>
                              <w:rPr>
                                <w:rFonts w:eastAsia="MS Mincho"/>
                                <w:lang w:eastAsia="ja-JP"/>
                              </w:rPr>
                            </w:pPr>
                            <w:r w:rsidRPr="009164CA">
                              <w:rPr>
                                <w:rFonts w:eastAsia="MS Mincho"/>
                                <w:lang w:eastAsia="ja-JP"/>
                              </w:rPr>
                              <w:t>As the goal of the OECD IATA Case Studies project is to discuss case studies which would lead to regulatory application a description of the regulatory relevance is important to contextualise the case and discuss the further development of guidance and how</w:t>
                            </w:r>
                            <w:r>
                              <w:rPr>
                                <w:rFonts w:eastAsia="MS Mincho"/>
                                <w:lang w:eastAsia="ja-JP"/>
                              </w:rPr>
                              <w:t xml:space="preserve"> to</w:t>
                            </w:r>
                            <w:r w:rsidRPr="009164CA">
                              <w:rPr>
                                <w:rFonts w:eastAsia="MS Mincho"/>
                                <w:lang w:eastAsia="ja-JP"/>
                              </w:rPr>
                              <w:t xml:space="preserve"> use </w:t>
                            </w:r>
                            <w:r>
                              <w:rPr>
                                <w:rFonts w:eastAsia="MS Mincho"/>
                                <w:lang w:eastAsia="ja-JP"/>
                              </w:rPr>
                              <w:t xml:space="preserve">the </w:t>
                            </w:r>
                            <w:r w:rsidRPr="009164CA">
                              <w:rPr>
                                <w:rFonts w:eastAsia="MS Mincho"/>
                                <w:lang w:eastAsia="ja-JP"/>
                              </w:rPr>
                              <w:t>IATA for regulatory purpose.</w:t>
                            </w:r>
                          </w:p>
                          <w:p w14:paraId="45FA07E8" w14:textId="77777777" w:rsidR="00952B38" w:rsidRPr="00356FA7" w:rsidRDefault="00952B38" w:rsidP="004D597C">
                            <w:pPr>
                              <w:pStyle w:val="ListParagraph"/>
                              <w:spacing w:after="0" w:line="240" w:lineRule="auto"/>
                              <w:ind w:left="142"/>
                              <w:rPr>
                                <w:rFonts w:eastAsia="MS Mincho"/>
                                <w:color w:val="FF0000"/>
                                <w:lang w:eastAsia="ja-JP"/>
                              </w:rPr>
                            </w:pPr>
                          </w:p>
                          <w:p w14:paraId="240E1FD5" w14:textId="77777777" w:rsidR="00952B38" w:rsidRPr="00356FA7" w:rsidRDefault="00952B38" w:rsidP="004D597C">
                            <w:pPr>
                              <w:spacing w:after="0" w:line="240" w:lineRule="auto"/>
                              <w:rPr>
                                <w:rFonts w:eastAsia="MS Mincho"/>
                                <w:color w:val="FF0000"/>
                                <w:lang w:eastAsia="ja-JP"/>
                              </w:rPr>
                            </w:pPr>
                          </w:p>
                          <w:p w14:paraId="4CE7EBF8" w14:textId="77777777" w:rsidR="00952B38" w:rsidRPr="00356FA7" w:rsidRDefault="00952B38" w:rsidP="004D597C">
                            <w:pPr>
                              <w:spacing w:after="0"/>
                              <w:rPr>
                                <w:rFonts w:eastAsia="MS Mincho"/>
                                <w:color w:val="FF0000"/>
                                <w:lang w:eastAsia="ja-JP"/>
                              </w:rPr>
                            </w:pPr>
                          </w:p>
                        </w:txbxContent>
                      </wps:txbx>
                      <wps:bodyPr rot="0" vert="horz" wrap="square" lIns="91440" tIns="45720" rIns="91440" bIns="45720" anchor="t" anchorCtr="0" upright="1">
                        <a:noAutofit/>
                      </wps:bodyPr>
                    </wps:wsp>
                  </a:graphicData>
                </a:graphic>
              </wp:inline>
            </w:drawing>
          </mc:Choice>
          <mc:Fallback>
            <w:pict>
              <v:shapetype w14:anchorId="6534624E" id="_x0000_t202" coordsize="21600,21600" o:spt="202" path="m,l,21600r21600,l21600,xe">
                <v:stroke joinstyle="miter"/>
                <v:path gradientshapeok="t" o:connecttype="rect"/>
              </v:shapetype>
              <v:shape id="Text Box 6" o:spid="_x0000_s1026" type="#_x0000_t202" style="width:449.2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U6NLAIAAFEEAAAOAAAAZHJzL2Uyb0RvYy54bWysVNtu2zAMfR+wfxD0vtjJ4qQ14hRdugwD&#10;ugvQ7gNkWY6FSaImKbGzry8lp1nQbS/D/CCIInVEnkN6dTNoRQ7CeQmmotNJTokwHBppdhX99rh9&#10;c0WJD8w0TIERFT0KT2/Wr1+teluKGXSgGuEIghhf9raiXQi2zDLPO6GZn4AVBp0tOM0Cmm6XNY71&#10;iK5VNsvzRdaDa6wDLrzH07vRSdcJv20FD1/a1otAVEUxt5BWl9Y6rtl6xcqdY7aT/JQG+4csNJMG&#10;Hz1D3bHAyN7J36C05A48tGHCQWfQtpKLVANWM81fVPPQMStSLUiOt2ea/P+D5Z8PXx2RTUUXlBim&#10;UaJHMQTyDgayiOz01pcY9GAxLAx4jCqnSr29B/7dEwObjpmduHUO+k6wBrObxpvZxdURx0eQuv8E&#10;DT7D9gES0NA6HalDMgiio0rHszIxFY6HxTIv5suCEo6+6aJYvi2Sdhkrn69b58MHAZrETUUdSp/g&#10;2eHeh5gOK59D4mselGy2UqlkuF29UY4cGLbJNn2pghdhypC+otfFrBgZ+CtEnr4/QWgZsN+V1BW9&#10;OgexMvL23jSpGwOTatxjysqciIzcjSyGoR5OwtTQHJFSB2Nf4xzipgP3k5Iee7qi/seeOUGJ+mhQ&#10;luvpfB6HIBnzYjlDw1166ksPMxyhKhooGbebMA7O3jq56/ClsREM3KKUrUwkR83HrE55Y98m7k8z&#10;Fgfj0k5Rv/4E6ycAAAD//wMAUEsDBBQABgAIAAAAIQBKVeJW3QAAAAUBAAAPAAAAZHJzL2Rvd25y&#10;ZXYueG1sTI/BTsMwEETvSPyDtUhcEHVaIKQhmwohgegNCoKrG2+TCHsdbDcNf4/hApeVRjOaeVut&#10;JmvESD70jhHmswwEceN0zy3C68v9eQEiRMVaGceE8EUBVvXxUaVK7Q78TOMmtiKVcCgVQhfjUEoZ&#10;mo6sCjM3ECdv57xVMUnfSu3VIZVbIxdZlkurek4LnRrorqPmY7O3CMXl4/ge1hdPb02+M8t4dj0+&#10;fHrE05Pp9gZEpCn+heEHP6FDnZi2bs86CIOQHom/N3nFsrgCsUVY5PMMZF3J//T1NwAAAP//AwBQ&#10;SwECLQAUAAYACAAAACEAtoM4kv4AAADhAQAAEwAAAAAAAAAAAAAAAAAAAAAAW0NvbnRlbnRfVHlw&#10;ZXNdLnhtbFBLAQItABQABgAIAAAAIQA4/SH/1gAAAJQBAAALAAAAAAAAAAAAAAAAAC8BAABfcmVs&#10;cy8ucmVsc1BLAQItABQABgAIAAAAIQA4bU6NLAIAAFEEAAAOAAAAAAAAAAAAAAAAAC4CAABkcnMv&#10;ZTJvRG9jLnhtbFBLAQItABQABgAIAAAAIQBKVeJW3QAAAAUBAAAPAAAAAAAAAAAAAAAAAIYEAABk&#10;cnMvZG93bnJldi54bWxQSwUGAAAAAAQABADzAAAAkAUAAAAA&#10;">
                <v:textbox>
                  <w:txbxContent>
                    <w:p w14:paraId="55C7FF13" w14:textId="77777777" w:rsidR="00952B38" w:rsidRPr="00DC2B2A" w:rsidRDefault="00952B38" w:rsidP="004D597C">
                      <w:pPr>
                        <w:spacing w:after="0" w:line="240" w:lineRule="auto"/>
                        <w:rPr>
                          <w:rFonts w:eastAsia="MS Mincho"/>
                          <w:lang w:eastAsia="ja-JP"/>
                        </w:rPr>
                      </w:pPr>
                      <w:r w:rsidRPr="00DC2B2A">
                        <w:rPr>
                          <w:rFonts w:eastAsia="MS Mincho"/>
                          <w:lang w:eastAsia="ja-JP"/>
                        </w:rPr>
                        <w:t>Tip</w:t>
                      </w:r>
                    </w:p>
                    <w:p w14:paraId="7491676C" w14:textId="7C0C2446" w:rsidR="00952B38" w:rsidRPr="009164CA" w:rsidRDefault="00952B38" w:rsidP="004D597C">
                      <w:pPr>
                        <w:pStyle w:val="ListParagraph"/>
                        <w:numPr>
                          <w:ilvl w:val="0"/>
                          <w:numId w:val="21"/>
                        </w:numPr>
                        <w:spacing w:after="0" w:line="240" w:lineRule="auto"/>
                        <w:ind w:left="284" w:hanging="284"/>
                        <w:rPr>
                          <w:rFonts w:eastAsia="MS Mincho"/>
                          <w:lang w:eastAsia="ja-JP"/>
                        </w:rPr>
                      </w:pPr>
                      <w:r w:rsidRPr="00DC2B2A">
                        <w:rPr>
                          <w:rFonts w:eastAsia="MS Mincho"/>
                          <w:lang w:eastAsia="ja-JP"/>
                        </w:rPr>
                        <w:t>The description of the purpose of use is important for considering the acceptable uncertainty of the case study</w:t>
                      </w:r>
                      <w:r w:rsidRPr="009164CA">
                        <w:rPr>
                          <w:rFonts w:eastAsia="MS Mincho"/>
                          <w:lang w:eastAsia="ja-JP"/>
                        </w:rPr>
                        <w:t>, which could be linked to the uncertainty assessment.  For example, if the conclusion derived by case study is renewable in a framework such as tiered-approach, this needs to be clearly stated (</w:t>
                      </w:r>
                      <w:r>
                        <w:rPr>
                          <w:rFonts w:eastAsia="MS Mincho"/>
                          <w:lang w:eastAsia="ja-JP"/>
                        </w:rPr>
                        <w:t xml:space="preserve">see case studies </w:t>
                      </w:r>
                      <w:hyperlink r:id="rId17" w:history="1">
                        <w:r w:rsidRPr="00007345">
                          <w:rPr>
                            <w:rStyle w:val="Hyperlink"/>
                            <w:rFonts w:eastAsia="MS Mincho"/>
                            <w:lang w:eastAsia="ja-JP"/>
                          </w:rPr>
                          <w:t>OECD, 2016</w:t>
                        </w:r>
                        <w:r>
                          <w:rPr>
                            <w:rStyle w:val="Hyperlink"/>
                            <w:rFonts w:eastAsia="MS Mincho"/>
                            <w:lang w:eastAsia="ja-JP"/>
                          </w:rPr>
                          <w:t>a</w:t>
                        </w:r>
                      </w:hyperlink>
                      <w:r>
                        <w:rPr>
                          <w:rFonts w:eastAsia="MS Mincho"/>
                          <w:lang w:eastAsia="ja-JP"/>
                        </w:rPr>
                        <w:t xml:space="preserve"> and </w:t>
                      </w:r>
                      <w:hyperlink r:id="rId18" w:history="1">
                        <w:r w:rsidRPr="00007345">
                          <w:rPr>
                            <w:rStyle w:val="Hyperlink"/>
                            <w:rFonts w:eastAsia="MS Mincho"/>
                            <w:lang w:eastAsia="ja-JP"/>
                          </w:rPr>
                          <w:t>2016</w:t>
                        </w:r>
                        <w:r>
                          <w:rPr>
                            <w:rStyle w:val="Hyperlink"/>
                            <w:rFonts w:eastAsia="MS Mincho"/>
                            <w:lang w:eastAsia="ja-JP"/>
                          </w:rPr>
                          <w:t>b</w:t>
                        </w:r>
                      </w:hyperlink>
                      <w:r w:rsidRPr="009164CA">
                        <w:rPr>
                          <w:rFonts w:eastAsia="MS Mincho"/>
                          <w:lang w:eastAsia="ja-JP"/>
                        </w:rPr>
                        <w:t>).</w:t>
                      </w:r>
                    </w:p>
                    <w:p w14:paraId="09398D2E" w14:textId="77777777" w:rsidR="00952B38" w:rsidRPr="009164CA" w:rsidRDefault="00952B38" w:rsidP="004D597C">
                      <w:pPr>
                        <w:pStyle w:val="ListParagraph"/>
                        <w:numPr>
                          <w:ilvl w:val="0"/>
                          <w:numId w:val="21"/>
                        </w:numPr>
                        <w:spacing w:after="0" w:line="240" w:lineRule="auto"/>
                        <w:ind w:left="284" w:hanging="284"/>
                        <w:rPr>
                          <w:rFonts w:eastAsia="MS Mincho"/>
                          <w:lang w:eastAsia="ja-JP"/>
                        </w:rPr>
                      </w:pPr>
                      <w:r w:rsidRPr="009164CA">
                        <w:rPr>
                          <w:rFonts w:eastAsia="MS Mincho"/>
                          <w:lang w:eastAsia="ja-JP"/>
                        </w:rPr>
                        <w:t>As the goal of the OECD IATA Case Studies project is to discuss case studies which would lead to regulatory application a description of the regulatory relevance is important to contextualise the case and discuss the further development of guidance and how</w:t>
                      </w:r>
                      <w:r>
                        <w:rPr>
                          <w:rFonts w:eastAsia="MS Mincho"/>
                          <w:lang w:eastAsia="ja-JP"/>
                        </w:rPr>
                        <w:t xml:space="preserve"> to</w:t>
                      </w:r>
                      <w:r w:rsidRPr="009164CA">
                        <w:rPr>
                          <w:rFonts w:eastAsia="MS Mincho"/>
                          <w:lang w:eastAsia="ja-JP"/>
                        </w:rPr>
                        <w:t xml:space="preserve"> use </w:t>
                      </w:r>
                      <w:r>
                        <w:rPr>
                          <w:rFonts w:eastAsia="MS Mincho"/>
                          <w:lang w:eastAsia="ja-JP"/>
                        </w:rPr>
                        <w:t xml:space="preserve">the </w:t>
                      </w:r>
                      <w:r w:rsidRPr="009164CA">
                        <w:rPr>
                          <w:rFonts w:eastAsia="MS Mincho"/>
                          <w:lang w:eastAsia="ja-JP"/>
                        </w:rPr>
                        <w:t>IATA for regulatory purpose.</w:t>
                      </w:r>
                    </w:p>
                    <w:p w14:paraId="45FA07E8" w14:textId="77777777" w:rsidR="00952B38" w:rsidRPr="00356FA7" w:rsidRDefault="00952B38" w:rsidP="004D597C">
                      <w:pPr>
                        <w:pStyle w:val="ListParagraph"/>
                        <w:spacing w:after="0" w:line="240" w:lineRule="auto"/>
                        <w:ind w:left="142"/>
                        <w:rPr>
                          <w:rFonts w:eastAsia="MS Mincho"/>
                          <w:color w:val="FF0000"/>
                          <w:lang w:eastAsia="ja-JP"/>
                        </w:rPr>
                      </w:pPr>
                    </w:p>
                    <w:p w14:paraId="240E1FD5" w14:textId="77777777" w:rsidR="00952B38" w:rsidRPr="00356FA7" w:rsidRDefault="00952B38" w:rsidP="004D597C">
                      <w:pPr>
                        <w:spacing w:after="0" w:line="240" w:lineRule="auto"/>
                        <w:rPr>
                          <w:rFonts w:eastAsia="MS Mincho"/>
                          <w:color w:val="FF0000"/>
                          <w:lang w:eastAsia="ja-JP"/>
                        </w:rPr>
                      </w:pPr>
                    </w:p>
                    <w:p w14:paraId="4CE7EBF8" w14:textId="77777777" w:rsidR="00952B38" w:rsidRPr="00356FA7" w:rsidRDefault="00952B38" w:rsidP="004D597C">
                      <w:pPr>
                        <w:spacing w:after="0"/>
                        <w:rPr>
                          <w:rFonts w:eastAsia="MS Mincho"/>
                          <w:color w:val="FF0000"/>
                          <w:lang w:eastAsia="ja-JP"/>
                        </w:rPr>
                      </w:pPr>
                    </w:p>
                  </w:txbxContent>
                </v:textbox>
                <w10:anchorlock/>
              </v:shape>
            </w:pict>
          </mc:Fallback>
        </mc:AlternateContent>
      </w:r>
    </w:p>
    <w:p w14:paraId="0AB8AD8C" w14:textId="5C0AC7AE" w:rsidR="000F2954" w:rsidRPr="004D597C" w:rsidRDefault="00B82F81" w:rsidP="00E95BE1">
      <w:pPr>
        <w:tabs>
          <w:tab w:val="left" w:pos="0"/>
        </w:tabs>
        <w:rPr>
          <w:b/>
          <w:u w:val="single"/>
        </w:rPr>
      </w:pPr>
      <w:r>
        <w:rPr>
          <w:b/>
          <w:u w:val="single"/>
        </w:rPr>
        <w:t>3</w:t>
      </w:r>
      <w:r w:rsidR="00103AAD" w:rsidRPr="004D597C">
        <w:rPr>
          <w:b/>
          <w:u w:val="single"/>
        </w:rPr>
        <w:t>.</w:t>
      </w:r>
      <w:r w:rsidR="003133C7" w:rsidRPr="004D597C">
        <w:rPr>
          <w:b/>
          <w:u w:val="single"/>
        </w:rPr>
        <w:t xml:space="preserve"> </w:t>
      </w:r>
      <w:r w:rsidR="001D742D" w:rsidRPr="004D597C">
        <w:rPr>
          <w:b/>
          <w:u w:val="single"/>
        </w:rPr>
        <w:t xml:space="preserve"> H</w:t>
      </w:r>
      <w:r w:rsidR="003133C7" w:rsidRPr="004D597C">
        <w:rPr>
          <w:b/>
          <w:u w:val="single"/>
        </w:rPr>
        <w:t>ypothesis</w:t>
      </w:r>
      <w:r w:rsidR="001D742D" w:rsidRPr="004D597C">
        <w:rPr>
          <w:b/>
          <w:u w:val="single"/>
        </w:rPr>
        <w:t xml:space="preserve"> </w:t>
      </w:r>
      <w:r w:rsidR="007D2DC9" w:rsidRPr="004D597C">
        <w:rPr>
          <w:b/>
          <w:u w:val="single"/>
        </w:rPr>
        <w:t xml:space="preserve">for </w:t>
      </w:r>
      <w:r w:rsidR="002B6263" w:rsidRPr="004D597C">
        <w:rPr>
          <w:b/>
          <w:u w:val="single"/>
        </w:rPr>
        <w:t>performing IATA</w:t>
      </w:r>
    </w:p>
    <w:p w14:paraId="69E67906" w14:textId="4A1C4E43" w:rsidR="00AA6E2C" w:rsidRPr="004D597C" w:rsidRDefault="005826E2" w:rsidP="009D78A4">
      <w:pPr>
        <w:pStyle w:val="ListParagraph"/>
        <w:numPr>
          <w:ilvl w:val="0"/>
          <w:numId w:val="15"/>
        </w:numPr>
        <w:tabs>
          <w:tab w:val="left" w:pos="426"/>
        </w:tabs>
        <w:spacing w:after="0"/>
        <w:ind w:hanging="218"/>
      </w:pPr>
      <w:r w:rsidRPr="004D597C">
        <w:t xml:space="preserve">Provide the hypothesis for </w:t>
      </w:r>
      <w:r w:rsidR="00462C5B" w:rsidRPr="004D597C">
        <w:t>performing</w:t>
      </w:r>
      <w:r w:rsidR="00AA6E2C" w:rsidRPr="004D597C">
        <w:t xml:space="preserve"> IATA</w:t>
      </w:r>
      <w:r w:rsidR="00AA0C76" w:rsidRPr="004D597C">
        <w:t xml:space="preserve"> </w:t>
      </w:r>
      <w:r w:rsidR="00AA6E2C" w:rsidRPr="004D597C">
        <w:t>for the identified</w:t>
      </w:r>
      <w:r w:rsidR="00AA0C76" w:rsidRPr="004D597C">
        <w:t xml:space="preserve"> purpose</w:t>
      </w:r>
      <w:r w:rsidR="00AA6E2C" w:rsidRPr="004D597C">
        <w:t xml:space="preserve"> </w:t>
      </w:r>
    </w:p>
    <w:p w14:paraId="49BDB89D" w14:textId="2DF76743" w:rsidR="00A54E7A" w:rsidRPr="004D597C" w:rsidRDefault="00A54E7A" w:rsidP="009D78A4">
      <w:pPr>
        <w:pStyle w:val="ListParagraph"/>
        <w:numPr>
          <w:ilvl w:val="0"/>
          <w:numId w:val="15"/>
        </w:numPr>
        <w:spacing w:after="240" w:line="240" w:lineRule="auto"/>
        <w:ind w:hanging="218"/>
        <w:rPr>
          <w:rFonts w:ascii="Times New Roman" w:hAnsi="Times New Roman" w:cs="Times New Roman"/>
          <w:sz w:val="24"/>
          <w:szCs w:val="24"/>
          <w:lang w:eastAsia="ja-JP"/>
        </w:rPr>
      </w:pPr>
      <w:r w:rsidRPr="004D597C">
        <w:t xml:space="preserve">Describe how the IATA will be performed for the specific purpose. </w:t>
      </w:r>
      <w:r w:rsidRPr="004D597C">
        <w:rPr>
          <w:rFonts w:ascii="Times New Roman" w:hAnsi="Times New Roman" w:cs="Times New Roman"/>
          <w:sz w:val="24"/>
          <w:szCs w:val="24"/>
          <w:lang w:eastAsia="ja-JP"/>
        </w:rPr>
        <w:t xml:space="preserve"> </w:t>
      </w:r>
    </w:p>
    <w:p w14:paraId="0741412C" w14:textId="5DA9F050" w:rsidR="00421057" w:rsidRPr="00C05870" w:rsidRDefault="00587AC5" w:rsidP="0068245D">
      <w:pPr>
        <w:pStyle w:val="ListParagraph"/>
        <w:numPr>
          <w:ilvl w:val="0"/>
          <w:numId w:val="15"/>
        </w:numPr>
        <w:spacing w:after="240" w:line="240" w:lineRule="auto"/>
        <w:ind w:hanging="218"/>
        <w:rPr>
          <w:sz w:val="24"/>
        </w:rPr>
      </w:pPr>
      <w:r w:rsidRPr="004D597C">
        <w:rPr>
          <w:rFonts w:cstheme="minorHAnsi"/>
          <w:szCs w:val="24"/>
          <w:lang w:eastAsia="ja-JP"/>
        </w:rPr>
        <w:t>If many steps are included in the IATA, i</w:t>
      </w:r>
      <w:r w:rsidR="00421057" w:rsidRPr="004D597C">
        <w:t>nclude a figure for the</w:t>
      </w:r>
      <w:r w:rsidR="00F05CDB" w:rsidRPr="004D597C">
        <w:t xml:space="preserve"> workflow </w:t>
      </w:r>
      <w:r w:rsidR="00145941" w:rsidRPr="004D597C">
        <w:t xml:space="preserve">of </w:t>
      </w:r>
      <w:r w:rsidRPr="004D597C">
        <w:rPr>
          <w:rFonts w:cstheme="minorHAnsi"/>
          <w:szCs w:val="24"/>
          <w:lang w:eastAsia="ja-JP"/>
        </w:rPr>
        <w:t xml:space="preserve">the </w:t>
      </w:r>
      <w:r w:rsidR="00F05CDB" w:rsidRPr="004D597C">
        <w:t>IATA</w:t>
      </w:r>
      <w:r w:rsidR="00F52362" w:rsidRPr="004D597C">
        <w:t xml:space="preserve"> </w:t>
      </w:r>
      <w:r w:rsidR="00421057" w:rsidRPr="004D597C">
        <w:t xml:space="preserve">applied </w:t>
      </w:r>
      <w:r w:rsidR="00145941" w:rsidRPr="004D597C">
        <w:t xml:space="preserve">in </w:t>
      </w:r>
      <w:r w:rsidR="00421057" w:rsidRPr="004D597C">
        <w:t>the case study</w:t>
      </w:r>
      <w:r w:rsidR="00145941" w:rsidRPr="004D597C">
        <w:t xml:space="preserve"> in order to provide an overview on how the IATA work through</w:t>
      </w:r>
      <w:r w:rsidR="006976FA" w:rsidRPr="004D597C">
        <w:t xml:space="preserve">. </w:t>
      </w:r>
      <w:r w:rsidR="00A53EA6" w:rsidRPr="004D597C">
        <w:t xml:space="preserve">Please refer to </w:t>
      </w:r>
      <w:r w:rsidR="009B5764" w:rsidRPr="009B4A6A">
        <w:rPr>
          <w:rFonts w:cstheme="minorHAnsi"/>
          <w:szCs w:val="24"/>
          <w:lang w:eastAsia="ja-JP"/>
        </w:rPr>
        <w:t xml:space="preserve">Figure 1 in Case Study 2019-4 </w:t>
      </w:r>
      <w:r w:rsidR="00EA2581" w:rsidRPr="009B4A6A">
        <w:rPr>
          <w:rFonts w:cstheme="minorHAnsi"/>
          <w:szCs w:val="24"/>
          <w:lang w:eastAsia="ja-JP"/>
        </w:rPr>
        <w:t>(</w:t>
      </w:r>
      <w:hyperlink r:id="rId19" w:history="1">
        <w:r w:rsidR="00EA2581" w:rsidRPr="00952B38">
          <w:rPr>
            <w:rStyle w:val="Hyperlink"/>
            <w:rFonts w:cstheme="minorHAnsi"/>
            <w:szCs w:val="24"/>
            <w:lang w:eastAsia="ja-JP"/>
          </w:rPr>
          <w:t>OECD, 2020a</w:t>
        </w:r>
      </w:hyperlink>
      <w:r w:rsidR="00EA2581" w:rsidRPr="009B4A6A">
        <w:rPr>
          <w:rFonts w:cstheme="minorHAnsi"/>
          <w:szCs w:val="24"/>
          <w:lang w:eastAsia="ja-JP"/>
        </w:rPr>
        <w:t xml:space="preserve">) </w:t>
      </w:r>
      <w:r w:rsidR="009B5764" w:rsidRPr="004860C4">
        <w:rPr>
          <w:rFonts w:cstheme="minorHAnsi"/>
          <w:szCs w:val="24"/>
          <w:lang w:eastAsia="ja-JP"/>
        </w:rPr>
        <w:t xml:space="preserve">and Figure 2 under </w:t>
      </w:r>
      <w:r w:rsidR="00A53EA6" w:rsidRPr="004860C4">
        <w:t>section 4.1 “Testing and assessment strategy” in Case Study 2019-5</w:t>
      </w:r>
      <w:r w:rsidR="00831665" w:rsidRPr="004860C4">
        <w:rPr>
          <w:rFonts w:cstheme="minorHAnsi"/>
          <w:szCs w:val="24"/>
          <w:lang w:eastAsia="ja-JP"/>
        </w:rPr>
        <w:t xml:space="preserve"> </w:t>
      </w:r>
      <w:r w:rsidR="00EA2581" w:rsidRPr="004860C4">
        <w:rPr>
          <w:rFonts w:cstheme="minorHAnsi"/>
          <w:szCs w:val="24"/>
          <w:lang w:eastAsia="ja-JP"/>
        </w:rPr>
        <w:t>(</w:t>
      </w:r>
      <w:hyperlink r:id="rId20" w:history="1">
        <w:r w:rsidR="00EA2581" w:rsidRPr="00952B38">
          <w:rPr>
            <w:rStyle w:val="Hyperlink"/>
            <w:rFonts w:cstheme="minorHAnsi"/>
            <w:szCs w:val="24"/>
            <w:lang w:eastAsia="ja-JP"/>
          </w:rPr>
          <w:t>OECD, 2020b</w:t>
        </w:r>
      </w:hyperlink>
      <w:r w:rsidR="00EA2581" w:rsidRPr="004860C4">
        <w:rPr>
          <w:rFonts w:cstheme="minorHAnsi"/>
          <w:szCs w:val="24"/>
          <w:lang w:eastAsia="ja-JP"/>
        </w:rPr>
        <w:t>)</w:t>
      </w:r>
      <w:r w:rsidR="00A53EA6" w:rsidRPr="00132387">
        <w:rPr>
          <w:rFonts w:cstheme="minorHAnsi"/>
          <w:szCs w:val="24"/>
          <w:lang w:eastAsia="ja-JP"/>
        </w:rPr>
        <w:t>.</w:t>
      </w:r>
      <w:r w:rsidR="00EA2581" w:rsidRPr="00C05870">
        <w:rPr>
          <w:rFonts w:cstheme="minorHAnsi"/>
          <w:szCs w:val="24"/>
          <w:lang w:eastAsia="ja-JP"/>
        </w:rPr>
        <w:t xml:space="preserve"> The below figure used in Case Study 2019-</w:t>
      </w:r>
      <w:r w:rsidR="00145941" w:rsidRPr="00C05870">
        <w:rPr>
          <w:rFonts w:cstheme="minorHAnsi"/>
          <w:szCs w:val="24"/>
          <w:lang w:eastAsia="ja-JP"/>
        </w:rPr>
        <w:t>5</w:t>
      </w:r>
      <w:r w:rsidR="00EA2581" w:rsidRPr="004D597C">
        <w:rPr>
          <w:rFonts w:cstheme="minorHAnsi"/>
          <w:szCs w:val="24"/>
          <w:lang w:eastAsia="ja-JP"/>
        </w:rPr>
        <w:t xml:space="preserve"> is an example. </w:t>
      </w:r>
      <w:r w:rsidR="00145941" w:rsidRPr="004D597C">
        <w:rPr>
          <w:rFonts w:cstheme="minorHAnsi"/>
          <w:szCs w:val="24"/>
          <w:lang w:eastAsia="ja-JP"/>
        </w:rPr>
        <w:t xml:space="preserve">  </w:t>
      </w:r>
      <w:r w:rsidR="003E70B0" w:rsidRPr="004D597C">
        <w:rPr>
          <w:rFonts w:cstheme="minorHAnsi"/>
          <w:szCs w:val="24"/>
          <w:lang w:eastAsia="ja-JP"/>
        </w:rPr>
        <w:t xml:space="preserve"> </w:t>
      </w:r>
      <w:r w:rsidR="00421057" w:rsidRPr="00132387">
        <w:rPr>
          <w:rFonts w:cstheme="minorHAnsi"/>
          <w:sz w:val="24"/>
          <w:szCs w:val="24"/>
          <w:lang w:eastAsia="ja-JP"/>
        </w:rPr>
        <w:t xml:space="preserve"> </w:t>
      </w:r>
    </w:p>
    <w:p w14:paraId="0E604C49" w14:textId="719FC610" w:rsidR="00AA6E2C" w:rsidRPr="004D597C" w:rsidRDefault="00AA6E2C" w:rsidP="00555187">
      <w:pPr>
        <w:pStyle w:val="ListParagraph"/>
        <w:tabs>
          <w:tab w:val="left" w:pos="426"/>
        </w:tabs>
        <w:spacing w:after="0"/>
        <w:ind w:left="426"/>
      </w:pPr>
    </w:p>
    <w:p w14:paraId="1D06C41A" w14:textId="273D8AB0" w:rsidR="00831665" w:rsidRPr="00C05870" w:rsidRDefault="00145941" w:rsidP="00555187">
      <w:pPr>
        <w:pStyle w:val="ListParagraph"/>
        <w:tabs>
          <w:tab w:val="left" w:pos="426"/>
        </w:tabs>
        <w:spacing w:after="0"/>
        <w:ind w:left="426"/>
      </w:pPr>
      <w:r w:rsidRPr="001E2ECF">
        <w:rPr>
          <w:noProof/>
          <w:lang w:eastAsia="ja-JP"/>
        </w:rPr>
        <w:drawing>
          <wp:inline distT="0" distB="0" distL="0" distR="0" wp14:anchorId="7EFE3CFB" wp14:editId="64BF1E56">
            <wp:extent cx="5731510" cy="2415540"/>
            <wp:effectExtent l="0" t="0" r="2540" b="3810"/>
            <wp:docPr id="44" name="Grafik 44"/>
            <wp:cNvGraphicFramePr/>
            <a:graphic xmlns:a="http://schemas.openxmlformats.org/drawingml/2006/main">
              <a:graphicData uri="http://schemas.openxmlformats.org/drawingml/2006/picture">
                <pic:pic xmlns:pic="http://schemas.openxmlformats.org/drawingml/2006/picture">
                  <pic:nvPicPr>
                    <pic:cNvPr id="44" name="Grafik 44"/>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2415540"/>
                    </a:xfrm>
                    <a:prstGeom prst="rect">
                      <a:avLst/>
                    </a:prstGeom>
                    <a:noFill/>
                  </pic:spPr>
                </pic:pic>
              </a:graphicData>
            </a:graphic>
          </wp:inline>
        </w:drawing>
      </w:r>
    </w:p>
    <w:p w14:paraId="5D10A211" w14:textId="2E7415A2" w:rsidR="00831665" w:rsidRPr="004D597C" w:rsidRDefault="007D53D2" w:rsidP="00555187">
      <w:pPr>
        <w:pStyle w:val="ListParagraph"/>
        <w:tabs>
          <w:tab w:val="left" w:pos="426"/>
        </w:tabs>
        <w:spacing w:after="0"/>
        <w:ind w:left="426"/>
      </w:pPr>
      <w:r w:rsidRPr="004D597C">
        <w:t xml:space="preserve">Example of </w:t>
      </w:r>
      <w:r w:rsidR="00EA2581" w:rsidRPr="004D597C">
        <w:t xml:space="preserve">Workflow </w:t>
      </w:r>
      <w:r w:rsidRPr="004D597C">
        <w:t>F</w:t>
      </w:r>
      <w:r w:rsidR="00831665" w:rsidRPr="004D597C">
        <w:t>igure</w:t>
      </w:r>
      <w:r w:rsidRPr="004D597C">
        <w:t>, which was</w:t>
      </w:r>
      <w:r w:rsidR="00831665" w:rsidRPr="004D597C">
        <w:t xml:space="preserve"> </w:t>
      </w:r>
      <w:r w:rsidR="00EA2581" w:rsidRPr="004D597C">
        <w:t>used</w:t>
      </w:r>
      <w:r w:rsidR="00831665" w:rsidRPr="004D597C">
        <w:t xml:space="preserve"> in Case Study 2019-</w:t>
      </w:r>
      <w:r w:rsidR="00145941" w:rsidRPr="004D597C">
        <w:t>5</w:t>
      </w:r>
    </w:p>
    <w:p w14:paraId="66EF241C" w14:textId="77777777" w:rsidR="00831665" w:rsidRPr="004D597C" w:rsidRDefault="00831665" w:rsidP="00555187">
      <w:pPr>
        <w:pStyle w:val="ListParagraph"/>
        <w:tabs>
          <w:tab w:val="left" w:pos="426"/>
        </w:tabs>
        <w:spacing w:after="0"/>
        <w:ind w:left="426"/>
      </w:pPr>
    </w:p>
    <w:p w14:paraId="1F5B398E" w14:textId="7678152A" w:rsidR="00AA6E2C" w:rsidRPr="004D597C" w:rsidRDefault="00B82F81" w:rsidP="00555187">
      <w:pPr>
        <w:pStyle w:val="ListParagraph"/>
        <w:tabs>
          <w:tab w:val="left" w:pos="0"/>
        </w:tabs>
        <w:ind w:left="0"/>
        <w:contextualSpacing w:val="0"/>
        <w:rPr>
          <w:b/>
          <w:u w:val="single"/>
        </w:rPr>
      </w:pPr>
      <w:r>
        <w:rPr>
          <w:b/>
          <w:u w:val="single"/>
        </w:rPr>
        <w:lastRenderedPageBreak/>
        <w:t>4</w:t>
      </w:r>
      <w:r w:rsidR="00AA6E2C" w:rsidRPr="004D597C">
        <w:rPr>
          <w:b/>
          <w:u w:val="single"/>
        </w:rPr>
        <w:t xml:space="preserve">. </w:t>
      </w:r>
      <w:r w:rsidR="00555187" w:rsidRPr="004D597C">
        <w:rPr>
          <w:b/>
          <w:u w:val="single"/>
        </w:rPr>
        <w:t>Approaches used (Potential Blocks for Inclusion)</w:t>
      </w:r>
    </w:p>
    <w:p w14:paraId="09BBB66F" w14:textId="77777777" w:rsidR="00044E09" w:rsidRPr="004860C4" w:rsidRDefault="00044E09" w:rsidP="00044E09">
      <w:pPr>
        <w:tabs>
          <w:tab w:val="left" w:pos="426"/>
        </w:tabs>
        <w:spacing w:after="0"/>
      </w:pPr>
      <w:r w:rsidRPr="009B4A6A">
        <w:t>Describ</w:t>
      </w:r>
      <w:r w:rsidR="007A1875" w:rsidRPr="009B4A6A">
        <w:t xml:space="preserve">e which approaches are applied for assessing the chemicals under the provided hypothesis: </w:t>
      </w:r>
      <w:r w:rsidR="00312375" w:rsidRPr="004860C4">
        <w:t xml:space="preserve"> </w:t>
      </w:r>
    </w:p>
    <w:p w14:paraId="36A6FFA5" w14:textId="77D0F0E1" w:rsidR="00FE1B62" w:rsidRPr="00C05870" w:rsidRDefault="00A54E7A" w:rsidP="00A54E7A">
      <w:pPr>
        <w:pStyle w:val="ListParagraph"/>
        <w:numPr>
          <w:ilvl w:val="0"/>
          <w:numId w:val="14"/>
        </w:numPr>
        <w:tabs>
          <w:tab w:val="left" w:pos="426"/>
        </w:tabs>
        <w:spacing w:after="0"/>
        <w:ind w:left="426" w:hanging="284"/>
      </w:pPr>
      <w:r w:rsidRPr="00B82F81">
        <w:rPr>
          <w:b/>
        </w:rPr>
        <w:t>AOP/MOA</w:t>
      </w:r>
      <w:r w:rsidRPr="00B82F81">
        <w:t>:  Description of potential mechanism(s) for the target chemicals to induce target endpoint toxicity. In particular, the graphical representation of the AOP would be helpful for the reader and key references</w:t>
      </w:r>
      <w:r w:rsidR="00F1275F" w:rsidRPr="00B82F81">
        <w:t xml:space="preserve"> (See “Graphical Representation of the AOP” at section </w:t>
      </w:r>
      <w:r w:rsidR="002233B9" w:rsidRPr="00B82F81">
        <w:t>“</w:t>
      </w:r>
      <w:r w:rsidR="00F1275F" w:rsidRPr="00B82F81">
        <w:t>1- AOP Description</w:t>
      </w:r>
      <w:r w:rsidR="002233B9" w:rsidRPr="00B82F81">
        <w:t>”</w:t>
      </w:r>
      <w:r w:rsidR="00F1275F" w:rsidRPr="00B82F81">
        <w:t xml:space="preserve"> </w:t>
      </w:r>
      <w:r w:rsidR="009E215B" w:rsidRPr="00B82F81">
        <w:t>of “User’s Handbook supplement to the Guidance Document for developing and assessing Adverse Outcome Pathways”</w:t>
      </w:r>
      <w:r w:rsidR="00642FF1">
        <w:t xml:space="preserve"> </w:t>
      </w:r>
      <w:r w:rsidR="00F1275F" w:rsidRPr="00C05870">
        <w:t>(</w:t>
      </w:r>
      <w:hyperlink r:id="rId22" w:history="1">
        <w:r w:rsidR="00E95362" w:rsidRPr="00C05870">
          <w:rPr>
            <w:rStyle w:val="Hyperlink"/>
          </w:rPr>
          <w:t>OECD, 2016</w:t>
        </w:r>
        <w:r w:rsidR="004860C4">
          <w:rPr>
            <w:rStyle w:val="Hyperlink"/>
          </w:rPr>
          <w:t>e</w:t>
        </w:r>
      </w:hyperlink>
      <w:r w:rsidR="00F1275F" w:rsidRPr="00C05870">
        <w:t>))</w:t>
      </w:r>
      <w:r w:rsidRPr="00C05870">
        <w:t xml:space="preserve">. The tools in the </w:t>
      </w:r>
      <w:hyperlink r:id="rId23" w:history="1">
        <w:r w:rsidRPr="00C05870">
          <w:rPr>
            <w:rStyle w:val="Hyperlink"/>
          </w:rPr>
          <w:t>AOP-KB</w:t>
        </w:r>
      </w:hyperlink>
      <w:r w:rsidR="00642FF1">
        <w:rPr>
          <w:rStyle w:val="FootnoteReference"/>
          <w:color w:val="0000FF"/>
          <w:u w:val="single"/>
        </w:rPr>
        <w:footnoteReference w:id="2"/>
      </w:r>
      <w:r w:rsidRPr="00C05870">
        <w:t xml:space="preserve"> should be referred to as appropriate (e.g. </w:t>
      </w:r>
      <w:hyperlink r:id="rId24" w:history="1">
        <w:r w:rsidRPr="00C05870">
          <w:rPr>
            <w:rStyle w:val="Hyperlink"/>
          </w:rPr>
          <w:t>AOP wiki</w:t>
        </w:r>
      </w:hyperlink>
      <w:r w:rsidR="00E63863" w:rsidRPr="00C05870">
        <w:rPr>
          <w:rStyle w:val="FootnoteReference"/>
        </w:rPr>
        <w:footnoteReference w:id="3"/>
      </w:r>
      <w:r w:rsidRPr="00C05870">
        <w:t xml:space="preserve">, </w:t>
      </w:r>
      <w:hyperlink r:id="rId25" w:history="1">
        <w:r w:rsidRPr="00C05870">
          <w:rPr>
            <w:rStyle w:val="Hyperlink"/>
          </w:rPr>
          <w:t>Effectopedia</w:t>
        </w:r>
      </w:hyperlink>
      <w:r w:rsidR="00E63863" w:rsidRPr="00C05870">
        <w:rPr>
          <w:rStyle w:val="FootnoteReference"/>
        </w:rPr>
        <w:footnoteReference w:id="4"/>
      </w:r>
      <w:r w:rsidRPr="00C05870">
        <w:t xml:space="preserve"> etc.).</w:t>
      </w:r>
    </w:p>
    <w:p w14:paraId="01527C7F" w14:textId="25B5D510" w:rsidR="00A54E7A" w:rsidRPr="00C05870" w:rsidRDefault="00DD0DD5" w:rsidP="00FE1B62">
      <w:pPr>
        <w:pStyle w:val="ListParagraph"/>
        <w:tabs>
          <w:tab w:val="left" w:pos="426"/>
        </w:tabs>
        <w:spacing w:after="0"/>
        <w:ind w:left="426"/>
      </w:pPr>
      <w:r w:rsidRPr="004D597C">
        <w:t xml:space="preserve">Identifying the relevant AOP from AOP wiki </w:t>
      </w:r>
      <w:r w:rsidR="00FE1B62" w:rsidRPr="004D597C">
        <w:t>is required. Please provide the AOP number, status on AOP-wiki and the link</w:t>
      </w:r>
      <w:r w:rsidRPr="004D597C">
        <w:t>.</w:t>
      </w:r>
      <w:r w:rsidR="00A54E7A" w:rsidRPr="004D597C">
        <w:t xml:space="preserve"> For AOPs that are not documented, consider the</w:t>
      </w:r>
      <w:r w:rsidR="009E215B" w:rsidRPr="004D597C">
        <w:t xml:space="preserve"> “Section 1-AOP Description” of </w:t>
      </w:r>
      <w:r w:rsidR="00A54E7A" w:rsidRPr="004D597C">
        <w:t xml:space="preserve"> "Users' Handbook supplement to the Guidance Document for developing and accessing Adverse Outcome Pathways" (</w:t>
      </w:r>
      <w:hyperlink r:id="rId26" w:history="1">
        <w:r w:rsidR="00A54E7A" w:rsidRPr="00C05870">
          <w:rPr>
            <w:rStyle w:val="Hyperlink"/>
          </w:rPr>
          <w:t>OECD, 2016</w:t>
        </w:r>
        <w:r w:rsidR="004860C4">
          <w:rPr>
            <w:rStyle w:val="Hyperlink"/>
          </w:rPr>
          <w:t>e</w:t>
        </w:r>
      </w:hyperlink>
      <w:r w:rsidR="00A54E7A" w:rsidRPr="00C05870">
        <w:t>) - although an entire AOP description is not the purpose here.</w:t>
      </w:r>
      <w:r w:rsidR="00F1011E">
        <w:t xml:space="preserve"> </w:t>
      </w:r>
      <w:r w:rsidR="00F1011E" w:rsidRPr="00F1011E">
        <w:t>If needed, the entire AOP can be described in Annex.</w:t>
      </w:r>
    </w:p>
    <w:p w14:paraId="380D1787" w14:textId="40DA3E12" w:rsidR="00421057" w:rsidRPr="004D597C" w:rsidRDefault="00421057" w:rsidP="00FE1B62">
      <w:pPr>
        <w:pStyle w:val="ListParagraph"/>
        <w:tabs>
          <w:tab w:val="left" w:pos="426"/>
        </w:tabs>
        <w:spacing w:after="0"/>
        <w:ind w:left="426"/>
      </w:pPr>
      <w:r w:rsidRPr="004D597C">
        <w:t xml:space="preserve">If </w:t>
      </w:r>
      <w:r w:rsidR="00587AC5" w:rsidRPr="004D597C">
        <w:t xml:space="preserve">an </w:t>
      </w:r>
      <w:r w:rsidRPr="004D597C">
        <w:t>AOP together with testing of</w:t>
      </w:r>
      <w:r w:rsidR="00587AC5" w:rsidRPr="004D597C">
        <w:t xml:space="preserve"> various</w:t>
      </w:r>
      <w:r w:rsidRPr="004D597C">
        <w:t xml:space="preserve"> MIE/KE/AO </w:t>
      </w:r>
      <w:r w:rsidR="006976FA" w:rsidRPr="004D597C">
        <w:t xml:space="preserve">is </w:t>
      </w:r>
      <w:r w:rsidRPr="004D597C">
        <w:t>used</w:t>
      </w:r>
      <w:r w:rsidR="00587AC5" w:rsidRPr="004D597C">
        <w:t xml:space="preserve"> in the case study</w:t>
      </w:r>
      <w:r w:rsidR="006976FA" w:rsidRPr="004D597C">
        <w:t>,</w:t>
      </w:r>
      <w:r w:rsidRPr="004D597C">
        <w:t xml:space="preserve"> </w:t>
      </w:r>
      <w:r w:rsidR="00587AC5" w:rsidRPr="004D597C">
        <w:t>a</w:t>
      </w:r>
      <w:r w:rsidR="006976FA" w:rsidRPr="004D597C">
        <w:t xml:space="preserve"> figure </w:t>
      </w:r>
      <w:r w:rsidR="00587AC5" w:rsidRPr="009B4A6A">
        <w:t xml:space="preserve">demonstrating the </w:t>
      </w:r>
      <w:r w:rsidR="006976FA" w:rsidRPr="009B4A6A">
        <w:t>align</w:t>
      </w:r>
      <w:r w:rsidR="00587AC5" w:rsidRPr="004860C4">
        <w:t xml:space="preserve">ment of </w:t>
      </w:r>
      <w:r w:rsidR="006976FA" w:rsidRPr="004860C4">
        <w:t>the</w:t>
      </w:r>
      <w:r w:rsidR="00587AC5" w:rsidRPr="004860C4">
        <w:t xml:space="preserve"> AOP with the various</w:t>
      </w:r>
      <w:r w:rsidR="006976FA" w:rsidRPr="004860C4">
        <w:t xml:space="preserve"> test</w:t>
      </w:r>
      <w:r w:rsidR="00587AC5" w:rsidRPr="004860C4">
        <w:t>s</w:t>
      </w:r>
      <w:r w:rsidRPr="004860C4">
        <w:t xml:space="preserve"> should be included.</w:t>
      </w:r>
      <w:r w:rsidR="006976FA" w:rsidRPr="004860C4">
        <w:t xml:space="preserve"> Please refer to </w:t>
      </w:r>
      <w:r w:rsidR="00A53EA6" w:rsidRPr="004860C4">
        <w:t>F</w:t>
      </w:r>
      <w:r w:rsidR="006976FA" w:rsidRPr="004860C4">
        <w:t>igure 1 in Case Study 2018-2 (</w:t>
      </w:r>
      <w:hyperlink r:id="rId27" w:history="1">
        <w:r w:rsidR="00445BE6" w:rsidRPr="00C05870">
          <w:rPr>
            <w:rStyle w:val="Hyperlink"/>
          </w:rPr>
          <w:t>OECD, 2019</w:t>
        </w:r>
        <w:r w:rsidR="00EF08EE" w:rsidRPr="00132387">
          <w:rPr>
            <w:rStyle w:val="Hyperlink"/>
          </w:rPr>
          <w:t>b</w:t>
        </w:r>
      </w:hyperlink>
      <w:r w:rsidR="006976FA" w:rsidRPr="00C05870">
        <w:t xml:space="preserve">), </w:t>
      </w:r>
      <w:r w:rsidR="009B5764" w:rsidRPr="00C05870">
        <w:t>Figure 3 in Case Study 2019-4</w:t>
      </w:r>
      <w:r w:rsidR="00EF08EE" w:rsidRPr="00C05870">
        <w:t xml:space="preserve"> (OECD, 2020a)</w:t>
      </w:r>
      <w:r w:rsidR="009B5764" w:rsidRPr="004D597C">
        <w:t xml:space="preserve">, </w:t>
      </w:r>
      <w:r w:rsidR="00A53EA6" w:rsidRPr="004D597C">
        <w:t>Figure 7 in Case Study 2019-5</w:t>
      </w:r>
      <w:r w:rsidR="00EF08EE" w:rsidRPr="004D597C">
        <w:t xml:space="preserve"> (</w:t>
      </w:r>
      <w:hyperlink r:id="rId28" w:history="1">
        <w:r w:rsidR="00EF08EE" w:rsidRPr="00952B38">
          <w:rPr>
            <w:rStyle w:val="Hyperlink"/>
          </w:rPr>
          <w:t>OECD, 2020b</w:t>
        </w:r>
      </w:hyperlink>
      <w:r w:rsidR="00EF08EE" w:rsidRPr="004D597C">
        <w:t>)</w:t>
      </w:r>
      <w:r w:rsidR="00A53EA6" w:rsidRPr="004D597C">
        <w:t>, Figure 2 (</w:t>
      </w:r>
      <w:r w:rsidR="007D53D2" w:rsidRPr="004D597C">
        <w:t xml:space="preserve">A and </w:t>
      </w:r>
      <w:r w:rsidR="00A53EA6" w:rsidRPr="004D597C">
        <w:t xml:space="preserve">B) in Case study 2019-7 </w:t>
      </w:r>
      <w:r w:rsidR="00EF08EE" w:rsidRPr="004D597C">
        <w:t>(</w:t>
      </w:r>
      <w:hyperlink r:id="rId29" w:history="1">
        <w:r w:rsidR="00EF08EE" w:rsidRPr="00952B38">
          <w:rPr>
            <w:rStyle w:val="Hyperlink"/>
          </w:rPr>
          <w:t>OECD, 2020c</w:t>
        </w:r>
      </w:hyperlink>
      <w:r w:rsidR="00EF08EE" w:rsidRPr="004D597C">
        <w:t xml:space="preserve">) </w:t>
      </w:r>
      <w:r w:rsidR="00A53EA6" w:rsidRPr="004D597C">
        <w:t>and Figure 5.1 (</w:t>
      </w:r>
      <w:r w:rsidR="007D53D2" w:rsidRPr="004D597C">
        <w:t xml:space="preserve">A and </w:t>
      </w:r>
      <w:r w:rsidR="00A53EA6" w:rsidRPr="004D597C">
        <w:t>B) in Case Study 2019-8</w:t>
      </w:r>
      <w:r w:rsidR="00EF08EE" w:rsidRPr="00C05870">
        <w:t xml:space="preserve"> (</w:t>
      </w:r>
      <w:hyperlink r:id="rId30" w:history="1">
        <w:r w:rsidR="00EF08EE" w:rsidRPr="00952B38">
          <w:rPr>
            <w:rStyle w:val="Hyperlink"/>
          </w:rPr>
          <w:t>OECD, 2020d</w:t>
        </w:r>
      </w:hyperlink>
      <w:r w:rsidR="00EF08EE" w:rsidRPr="00C05870">
        <w:t>)</w:t>
      </w:r>
      <w:r w:rsidR="00A53EA6" w:rsidRPr="00C05870">
        <w:t>.</w:t>
      </w:r>
      <w:r w:rsidR="007D53D2" w:rsidRPr="00C05870">
        <w:t xml:space="preserve"> The below figure is an example of the </w:t>
      </w:r>
      <w:r w:rsidR="007D53D2" w:rsidRPr="004D597C">
        <w:t>figure demonstrating the alignment of the AOP</w:t>
      </w:r>
      <w:r w:rsidR="00EF08EE" w:rsidRPr="004D597C">
        <w:t xml:space="preserve"> </w:t>
      </w:r>
      <w:r w:rsidR="007D53D2" w:rsidRPr="004D597C">
        <w:t>with the various tests</w:t>
      </w:r>
      <w:r w:rsidR="00EF08EE" w:rsidRPr="004D597C">
        <w:t xml:space="preserve">, which was used in Case Study 2019-7. The figure indicated where the assay is available and not available. </w:t>
      </w:r>
      <w:r w:rsidR="007D53D2" w:rsidRPr="004D597C">
        <w:t xml:space="preserve"> </w:t>
      </w:r>
    </w:p>
    <w:p w14:paraId="72E80A6D" w14:textId="3129777B" w:rsidR="00445BE6" w:rsidRPr="00C05870" w:rsidRDefault="00445BE6" w:rsidP="00FE1B62">
      <w:pPr>
        <w:pStyle w:val="ListParagraph"/>
        <w:tabs>
          <w:tab w:val="left" w:pos="426"/>
        </w:tabs>
        <w:spacing w:after="0"/>
        <w:ind w:left="426"/>
      </w:pPr>
      <w:r w:rsidRPr="001E2ECF">
        <w:rPr>
          <w:noProof/>
          <w:lang w:eastAsia="ja-JP"/>
        </w:rPr>
        <w:lastRenderedPageBreak/>
        <w:drawing>
          <wp:inline distT="0" distB="0" distL="0" distR="0" wp14:anchorId="452E1410" wp14:editId="13C478CA">
            <wp:extent cx="5048250" cy="4371975"/>
            <wp:effectExtent l="0" t="0" r="0" b="9525"/>
            <wp:docPr id="2" name="image25.png"/>
            <wp:cNvGraphicFramePr/>
            <a:graphic xmlns:a="http://schemas.openxmlformats.org/drawingml/2006/main">
              <a:graphicData uri="http://schemas.openxmlformats.org/drawingml/2006/picture">
                <pic:pic xmlns:pic="http://schemas.openxmlformats.org/drawingml/2006/picture">
                  <pic:nvPicPr>
                    <pic:cNvPr id="1" name="image25.png"/>
                    <pic:cNvPicPr/>
                  </pic:nvPicPr>
                  <pic:blipFill>
                    <a:blip r:embed="rId31"/>
                    <a:srcRect/>
                    <a:stretch>
                      <a:fillRect/>
                    </a:stretch>
                  </pic:blipFill>
                  <pic:spPr>
                    <a:xfrm>
                      <a:off x="0" y="0"/>
                      <a:ext cx="5048250" cy="4371975"/>
                    </a:xfrm>
                    <a:prstGeom prst="rect">
                      <a:avLst/>
                    </a:prstGeom>
                    <a:ln/>
                  </pic:spPr>
                </pic:pic>
              </a:graphicData>
            </a:graphic>
          </wp:inline>
        </w:drawing>
      </w:r>
    </w:p>
    <w:p w14:paraId="1ED985EC" w14:textId="7AB34467" w:rsidR="007D53D2" w:rsidRPr="004D597C" w:rsidRDefault="007D53D2" w:rsidP="00FE1B62">
      <w:pPr>
        <w:pStyle w:val="ListParagraph"/>
        <w:tabs>
          <w:tab w:val="left" w:pos="426"/>
        </w:tabs>
        <w:spacing w:after="0"/>
        <w:ind w:left="426"/>
      </w:pPr>
      <w:r w:rsidRPr="004D597C">
        <w:t>Example of AOP figure together with MIE/KE/AO, which was used in Case Study 2019-7</w:t>
      </w:r>
    </w:p>
    <w:p w14:paraId="0EC2B3EF" w14:textId="77777777" w:rsidR="00445BE6" w:rsidRPr="004D597C" w:rsidRDefault="00445BE6" w:rsidP="00FE1B62">
      <w:pPr>
        <w:pStyle w:val="ListParagraph"/>
        <w:tabs>
          <w:tab w:val="left" w:pos="426"/>
        </w:tabs>
        <w:spacing w:after="0"/>
        <w:ind w:left="426"/>
      </w:pPr>
    </w:p>
    <w:p w14:paraId="547EC224" w14:textId="4F5CFB23" w:rsidR="00A54E7A" w:rsidRPr="00C05870" w:rsidRDefault="00A54E7A" w:rsidP="00A54E7A">
      <w:pPr>
        <w:pStyle w:val="ListParagraph"/>
        <w:numPr>
          <w:ilvl w:val="0"/>
          <w:numId w:val="14"/>
        </w:numPr>
        <w:tabs>
          <w:tab w:val="left" w:pos="426"/>
        </w:tabs>
        <w:spacing w:after="0"/>
        <w:ind w:left="426" w:hanging="284"/>
      </w:pPr>
      <w:r w:rsidRPr="004D597C">
        <w:rPr>
          <w:b/>
        </w:rPr>
        <w:t>Defined Approach</w:t>
      </w:r>
      <w:r w:rsidRPr="004D597C">
        <w:t>:  If a defined approach is included</w:t>
      </w:r>
      <w:r w:rsidR="0071783B" w:rsidRPr="004D597C">
        <w:t>, please</w:t>
      </w:r>
      <w:r w:rsidRPr="004D597C">
        <w:t xml:space="preserve"> </w:t>
      </w:r>
      <w:r w:rsidR="0071783B" w:rsidRPr="004D597C">
        <w:t xml:space="preserve">refer </w:t>
      </w:r>
      <w:r w:rsidRPr="004D597C">
        <w:t xml:space="preserve"> </w:t>
      </w:r>
      <w:r w:rsidR="002137C8" w:rsidRPr="004D597C">
        <w:t xml:space="preserve">to </w:t>
      </w:r>
      <w:r w:rsidRPr="004D597C">
        <w:t xml:space="preserve">the </w:t>
      </w:r>
      <w:r w:rsidR="009E215B" w:rsidRPr="004D597C">
        <w:t>ANNEX I: TEMPLATE FOR REPORTING DEFINED APPROACHES TO TESTING AND ASSESSMENT BASED ON MULTIPLE I</w:t>
      </w:r>
      <w:r w:rsidR="009E215B" w:rsidRPr="009B4A6A">
        <w:t>NFORMATION SOURCES”</w:t>
      </w:r>
      <w:r w:rsidRPr="009B4A6A">
        <w:t xml:space="preserve"> of "Guidance Document on the Reporting of Defined Approaches to be </w:t>
      </w:r>
      <w:r w:rsidRPr="004860C4">
        <w:rPr>
          <w:rFonts w:eastAsia="MS Mincho"/>
          <w:lang w:eastAsia="ja-JP"/>
        </w:rPr>
        <w:t>u</w:t>
      </w:r>
      <w:r w:rsidRPr="004860C4">
        <w:t>sed within Integrated Approaches to Testing and Assessment" (</w:t>
      </w:r>
      <w:hyperlink r:id="rId32" w:history="1">
        <w:r w:rsidR="00E95362" w:rsidRPr="00C05870">
          <w:rPr>
            <w:rStyle w:val="Hyperlink"/>
          </w:rPr>
          <w:t>OECD, 2016</w:t>
        </w:r>
        <w:r w:rsidR="004860C4">
          <w:rPr>
            <w:rStyle w:val="Hyperlink"/>
          </w:rPr>
          <w:t>c</w:t>
        </w:r>
      </w:hyperlink>
      <w:r w:rsidRPr="00C05870">
        <w:t>).</w:t>
      </w:r>
      <w:r w:rsidR="0071783B" w:rsidRPr="00C05870">
        <w:t xml:space="preserve"> </w:t>
      </w:r>
      <w:r w:rsidR="00DD5309" w:rsidRPr="00C05870">
        <w:t>P</w:t>
      </w:r>
      <w:r w:rsidR="0071783B" w:rsidRPr="004D597C">
        <w:t xml:space="preserve">lease </w:t>
      </w:r>
      <w:r w:rsidR="00DD5309" w:rsidRPr="004D597C">
        <w:t>copy into this section</w:t>
      </w:r>
      <w:r w:rsidR="0071783B" w:rsidRPr="004D597C">
        <w:t xml:space="preserve"> the </w:t>
      </w:r>
      <w:r w:rsidR="00B408A3" w:rsidRPr="004D597C">
        <w:t>“</w:t>
      </w:r>
      <w:r w:rsidR="009E215B" w:rsidRPr="004D597C">
        <w:rPr>
          <w:i/>
        </w:rPr>
        <w:t>5. R</w:t>
      </w:r>
      <w:r w:rsidR="0071783B" w:rsidRPr="004D597C">
        <w:rPr>
          <w:i/>
        </w:rPr>
        <w:t>ationale underlying the construction of the defined approach</w:t>
      </w:r>
      <w:r w:rsidR="00B408A3" w:rsidRPr="004D597C">
        <w:t>”</w:t>
      </w:r>
      <w:r w:rsidR="009E215B" w:rsidRPr="004D597C">
        <w:t xml:space="preserve"> </w:t>
      </w:r>
      <w:r w:rsidR="00DD5309" w:rsidRPr="004D597C">
        <w:t>from</w:t>
      </w:r>
      <w:r w:rsidR="009E215B" w:rsidRPr="004D597C">
        <w:t xml:space="preserve"> the </w:t>
      </w:r>
      <w:r w:rsidR="00DD5309" w:rsidRPr="004D597C">
        <w:t xml:space="preserve">above mentioned </w:t>
      </w:r>
      <w:r w:rsidR="009E215B" w:rsidRPr="004D597C">
        <w:t xml:space="preserve">template </w:t>
      </w:r>
      <w:r w:rsidR="00B408A3" w:rsidRPr="004D597C">
        <w:t>(</w:t>
      </w:r>
      <w:hyperlink r:id="rId33" w:history="1">
        <w:r w:rsidR="00E95362" w:rsidRPr="00C05870">
          <w:rPr>
            <w:rStyle w:val="Hyperlink"/>
          </w:rPr>
          <w:t>OECD, 2016</w:t>
        </w:r>
        <w:r w:rsidR="004860C4">
          <w:rPr>
            <w:rStyle w:val="Hyperlink"/>
          </w:rPr>
          <w:t>c</w:t>
        </w:r>
      </w:hyperlink>
      <w:r w:rsidR="00B408A3" w:rsidRPr="00C05870">
        <w:t>)</w:t>
      </w:r>
      <w:r w:rsidR="00DD5309" w:rsidRPr="00C05870">
        <w:t>, completed with proper explanations</w:t>
      </w:r>
      <w:r w:rsidR="0071783B" w:rsidRPr="00C05870">
        <w:t>.</w:t>
      </w:r>
      <w:r w:rsidR="00107D99" w:rsidRPr="004D597C">
        <w:t xml:space="preserve"> </w:t>
      </w:r>
      <w:r w:rsidR="0017309D" w:rsidRPr="004D597C">
        <w:t>T</w:t>
      </w:r>
      <w:r w:rsidR="00107D99" w:rsidRPr="004D597C">
        <w:t xml:space="preserve">he </w:t>
      </w:r>
      <w:r w:rsidR="0017309D" w:rsidRPr="004D597C">
        <w:t xml:space="preserve">elements described in the </w:t>
      </w:r>
      <w:r w:rsidR="00107D99" w:rsidRPr="004D597C">
        <w:t>section “3. Approaches Used” of the case study 2018-2 (</w:t>
      </w:r>
      <w:hyperlink r:id="rId34" w:history="1">
        <w:r w:rsidR="00831665" w:rsidRPr="00C05870">
          <w:rPr>
            <w:rStyle w:val="Hyperlink"/>
          </w:rPr>
          <w:t>OECD, 2019</w:t>
        </w:r>
        <w:r w:rsidR="00831665" w:rsidRPr="00132387">
          <w:rPr>
            <w:rStyle w:val="Hyperlink"/>
          </w:rPr>
          <w:t>b</w:t>
        </w:r>
      </w:hyperlink>
      <w:r w:rsidR="00107D99" w:rsidRPr="00C05870">
        <w:t>)</w:t>
      </w:r>
      <w:r w:rsidR="0017309D" w:rsidRPr="00C05870">
        <w:t xml:space="preserve"> can be helpful for development of an IATA using Defined Approach</w:t>
      </w:r>
      <w:r w:rsidR="00107D99" w:rsidRPr="004D597C">
        <w:t>.</w:t>
      </w:r>
    </w:p>
    <w:p w14:paraId="1DEACD27" w14:textId="56A1E043" w:rsidR="00A54E7A" w:rsidRPr="00C05870" w:rsidRDefault="00A54E7A" w:rsidP="0018602D">
      <w:pPr>
        <w:pStyle w:val="ListParagraph"/>
        <w:numPr>
          <w:ilvl w:val="0"/>
          <w:numId w:val="14"/>
        </w:numPr>
        <w:tabs>
          <w:tab w:val="left" w:pos="426"/>
        </w:tabs>
        <w:spacing w:after="0"/>
        <w:ind w:left="426"/>
        <w:rPr>
          <w:b/>
        </w:rPr>
      </w:pPr>
      <w:r w:rsidRPr="004D597C">
        <w:rPr>
          <w:b/>
        </w:rPr>
        <w:t xml:space="preserve">Workflow:   </w:t>
      </w:r>
      <w:r w:rsidRPr="004D597C">
        <w:t xml:space="preserve">If an IATA workflow is included, provide a schematic and explanation of the elements of the workflow including input, decision and exit points. </w:t>
      </w:r>
      <w:r w:rsidR="00C13673" w:rsidRPr="004D597C">
        <w:t xml:space="preserve">If </w:t>
      </w:r>
      <w:r w:rsidR="00C13673" w:rsidRPr="004D597C">
        <w:rPr>
          <w:rFonts w:eastAsia="MS Mincho"/>
          <w:lang w:eastAsia="ja-JP"/>
        </w:rPr>
        <w:t>prioritization</w:t>
      </w:r>
      <w:r w:rsidR="00C13673" w:rsidRPr="004D597C">
        <w:t xml:space="preserve"> is the goal of IATA</w:t>
      </w:r>
      <w:r w:rsidR="00BE2E09" w:rsidRPr="004D597C">
        <w:t xml:space="preserve"> workflow</w:t>
      </w:r>
      <w:r w:rsidR="00C13673" w:rsidRPr="004D597C">
        <w:t>,</w:t>
      </w:r>
      <w:r w:rsidR="00C13673" w:rsidRPr="004D597C">
        <w:rPr>
          <w:rFonts w:eastAsia="MS Mincho"/>
          <w:lang w:eastAsia="ja-JP"/>
        </w:rPr>
        <w:t xml:space="preserve"> provide an explanation </w:t>
      </w:r>
      <w:r w:rsidR="00BE2E09" w:rsidRPr="004D597C">
        <w:rPr>
          <w:rFonts w:eastAsia="MS Mincho"/>
          <w:lang w:eastAsia="ja-JP"/>
        </w:rPr>
        <w:t xml:space="preserve">of </w:t>
      </w:r>
      <w:r w:rsidR="00C13673" w:rsidRPr="004D597C">
        <w:rPr>
          <w:rFonts w:eastAsia="MS Mincho"/>
          <w:lang w:eastAsia="ja-JP"/>
        </w:rPr>
        <w:t>how to classify the hazard and exposure profiling and potential risk classification.</w:t>
      </w:r>
      <w:r w:rsidR="00B408A3" w:rsidRPr="004D597C">
        <w:rPr>
          <w:rFonts w:eastAsia="MS Mincho"/>
          <w:lang w:eastAsia="ja-JP"/>
        </w:rPr>
        <w:t xml:space="preserve"> Please refer to the section “CHEMICAL SAFETY ASSESSMENT WORKFLOW” of </w:t>
      </w:r>
      <w:r w:rsidR="004F5F53" w:rsidRPr="004D597C">
        <w:rPr>
          <w:rStyle w:val="Hyperlink"/>
          <w:rFonts w:eastAsia="MS Mincho"/>
          <w:color w:val="auto"/>
          <w:u w:val="none"/>
          <w:lang w:eastAsia="ja-JP"/>
        </w:rPr>
        <w:t xml:space="preserve">the </w:t>
      </w:r>
      <w:r w:rsidR="00B408A3" w:rsidRPr="004D597C">
        <w:rPr>
          <w:rStyle w:val="Hyperlink"/>
          <w:rFonts w:eastAsia="MS Mincho"/>
          <w:color w:val="auto"/>
          <w:u w:val="none"/>
          <w:lang w:eastAsia="ja-JP"/>
        </w:rPr>
        <w:t>case study 2016-5</w:t>
      </w:r>
      <w:r w:rsidR="00B408A3" w:rsidRPr="004D597C">
        <w:rPr>
          <w:rFonts w:eastAsia="MS Mincho"/>
          <w:lang w:eastAsia="ja-JP"/>
        </w:rPr>
        <w:t xml:space="preserve"> </w:t>
      </w:r>
      <w:r w:rsidR="004F5F53" w:rsidRPr="00722E40">
        <w:rPr>
          <w:rFonts w:eastAsia="MS Mincho"/>
          <w:lang w:eastAsia="ja-JP"/>
        </w:rPr>
        <w:t>(</w:t>
      </w:r>
      <w:hyperlink r:id="rId35" w:history="1">
        <w:r w:rsidR="00C66234" w:rsidRPr="00C05870">
          <w:rPr>
            <w:rStyle w:val="Hyperlink"/>
            <w:rFonts w:eastAsia="MS Mincho"/>
            <w:lang w:eastAsia="ja-JP"/>
          </w:rPr>
          <w:t>OECD, 2017</w:t>
        </w:r>
      </w:hyperlink>
      <w:r w:rsidR="004F5F53" w:rsidRPr="00C05870">
        <w:rPr>
          <w:rFonts w:eastAsia="MS Mincho"/>
          <w:lang w:eastAsia="ja-JP"/>
        </w:rPr>
        <w:t>)</w:t>
      </w:r>
      <w:r w:rsidR="00C66234" w:rsidRPr="00C05870">
        <w:rPr>
          <w:rFonts w:eastAsia="MS Mincho"/>
          <w:lang w:eastAsia="ja-JP"/>
        </w:rPr>
        <w:t xml:space="preserve">, “3.3 IATA Workflow” of </w:t>
      </w:r>
      <w:hyperlink r:id="rId36" w:history="1">
        <w:r w:rsidR="00C66234" w:rsidRPr="00C05870">
          <w:rPr>
            <w:rStyle w:val="Hyperlink"/>
            <w:rFonts w:eastAsia="MS Mincho"/>
            <w:color w:val="auto"/>
            <w:u w:val="none"/>
            <w:lang w:eastAsia="ja-JP"/>
          </w:rPr>
          <w:t>the case study 2017-1</w:t>
        </w:r>
      </w:hyperlink>
      <w:r w:rsidR="00C66234" w:rsidRPr="00C05870">
        <w:rPr>
          <w:rFonts w:eastAsia="MS Mincho"/>
          <w:lang w:eastAsia="ja-JP"/>
        </w:rPr>
        <w:t xml:space="preserve"> (</w:t>
      </w:r>
      <w:hyperlink r:id="rId37" w:history="1">
        <w:r w:rsidR="00C66234" w:rsidRPr="00C05870">
          <w:rPr>
            <w:rStyle w:val="Hyperlink"/>
            <w:rFonts w:eastAsia="MS Mincho"/>
            <w:lang w:eastAsia="ja-JP"/>
          </w:rPr>
          <w:t>OECD, 2018</w:t>
        </w:r>
        <w:r w:rsidR="00642FF1">
          <w:rPr>
            <w:rStyle w:val="Hyperlink"/>
            <w:rFonts w:eastAsia="MS Mincho"/>
            <w:lang w:eastAsia="ja-JP"/>
          </w:rPr>
          <w:t>c</w:t>
        </w:r>
      </w:hyperlink>
      <w:r w:rsidR="00C66234" w:rsidRPr="00C05870">
        <w:rPr>
          <w:rFonts w:eastAsia="MS Mincho"/>
          <w:lang w:eastAsia="ja-JP"/>
        </w:rPr>
        <w:t xml:space="preserve">) </w:t>
      </w:r>
      <w:r w:rsidR="005527AF">
        <w:rPr>
          <w:rFonts w:eastAsia="MS Mincho"/>
          <w:lang w:eastAsia="ja-JP"/>
        </w:rPr>
        <w:t xml:space="preserve">, </w:t>
      </w:r>
      <w:r w:rsidR="00B408A3" w:rsidRPr="00C05870">
        <w:rPr>
          <w:rFonts w:eastAsia="MS Mincho"/>
          <w:lang w:eastAsia="ja-JP"/>
        </w:rPr>
        <w:t xml:space="preserve">the section “2. PRIORITISATION OF CHEMICALS USING AN IATA-BASED ERC APPROACH” of </w:t>
      </w:r>
      <w:r w:rsidR="00C66234" w:rsidRPr="004D597C">
        <w:rPr>
          <w:rStyle w:val="Hyperlink"/>
          <w:rFonts w:eastAsia="MS Mincho"/>
          <w:color w:val="auto"/>
          <w:u w:val="none"/>
          <w:lang w:eastAsia="ja-JP"/>
        </w:rPr>
        <w:t xml:space="preserve">the </w:t>
      </w:r>
      <w:r w:rsidR="00B408A3" w:rsidRPr="004D597C">
        <w:rPr>
          <w:rStyle w:val="Hyperlink"/>
          <w:rFonts w:eastAsia="MS Mincho"/>
          <w:color w:val="auto"/>
          <w:u w:val="none"/>
          <w:lang w:eastAsia="ja-JP"/>
        </w:rPr>
        <w:t>case study 2017-2</w:t>
      </w:r>
      <w:r w:rsidR="00C66234" w:rsidRPr="004D597C">
        <w:rPr>
          <w:rFonts w:eastAsia="MS Mincho"/>
          <w:lang w:eastAsia="ja-JP"/>
        </w:rPr>
        <w:t xml:space="preserve"> (</w:t>
      </w:r>
      <w:hyperlink r:id="rId38" w:history="1">
        <w:r w:rsidR="00C66234" w:rsidRPr="00C05870">
          <w:rPr>
            <w:rStyle w:val="Hyperlink"/>
            <w:rFonts w:eastAsia="MS Mincho"/>
            <w:lang w:eastAsia="ja-JP"/>
          </w:rPr>
          <w:t>OECD, 2018</w:t>
        </w:r>
        <w:r w:rsidR="00642FF1">
          <w:rPr>
            <w:rStyle w:val="Hyperlink"/>
            <w:rFonts w:eastAsia="MS Mincho"/>
            <w:lang w:eastAsia="ja-JP"/>
          </w:rPr>
          <w:t>b</w:t>
        </w:r>
      </w:hyperlink>
      <w:r w:rsidR="00C66234" w:rsidRPr="00C05870">
        <w:rPr>
          <w:rFonts w:eastAsia="MS Mincho"/>
          <w:lang w:eastAsia="ja-JP"/>
        </w:rPr>
        <w:t>)</w:t>
      </w:r>
      <w:r w:rsidR="005527AF">
        <w:rPr>
          <w:rFonts w:eastAsia="MS Mincho"/>
          <w:lang w:eastAsia="ja-JP"/>
        </w:rPr>
        <w:t xml:space="preserve"> and </w:t>
      </w:r>
      <w:r w:rsidR="005527AF" w:rsidRPr="00C05870">
        <w:rPr>
          <w:rFonts w:eastAsia="MS Mincho"/>
          <w:lang w:eastAsia="ja-JP"/>
        </w:rPr>
        <w:t>“</w:t>
      </w:r>
      <w:r w:rsidR="005527AF">
        <w:t>2</w:t>
      </w:r>
      <w:r w:rsidR="005527AF" w:rsidRPr="00377FF0">
        <w:t>.  Hypothesis for performing IATA</w:t>
      </w:r>
      <w:r w:rsidR="005527AF">
        <w:t xml:space="preserve"> and </w:t>
      </w:r>
      <w:r w:rsidR="005527AF" w:rsidRPr="00377FF0">
        <w:t>Approaches used</w:t>
      </w:r>
      <w:r w:rsidR="005527AF" w:rsidRPr="00C05870">
        <w:rPr>
          <w:rFonts w:eastAsia="MS Mincho"/>
          <w:lang w:eastAsia="ja-JP"/>
        </w:rPr>
        <w:t>”</w:t>
      </w:r>
      <w:r w:rsidR="005527AF">
        <w:rPr>
          <w:rFonts w:eastAsia="MS Mincho"/>
          <w:lang w:eastAsia="ja-JP"/>
        </w:rPr>
        <w:t xml:space="preserve"> </w:t>
      </w:r>
      <w:r w:rsidR="005527AF" w:rsidRPr="00C05870">
        <w:rPr>
          <w:rFonts w:eastAsia="MS Mincho"/>
          <w:lang w:eastAsia="ja-JP"/>
        </w:rPr>
        <w:t xml:space="preserve">of </w:t>
      </w:r>
      <w:r w:rsidR="005527AF" w:rsidRPr="004D597C">
        <w:rPr>
          <w:rStyle w:val="Hyperlink"/>
          <w:rFonts w:eastAsia="MS Mincho"/>
          <w:color w:val="auto"/>
          <w:u w:val="none"/>
          <w:lang w:eastAsia="ja-JP"/>
        </w:rPr>
        <w:t xml:space="preserve">the </w:t>
      </w:r>
      <w:r w:rsidR="005527AF">
        <w:rPr>
          <w:rStyle w:val="Hyperlink"/>
          <w:rFonts w:eastAsia="MS Mincho"/>
          <w:color w:val="auto"/>
          <w:u w:val="none"/>
          <w:lang w:eastAsia="ja-JP"/>
        </w:rPr>
        <w:t>case study 2020-1(OECD, 2021).</w:t>
      </w:r>
    </w:p>
    <w:p w14:paraId="53CD0997" w14:textId="1A831BC5" w:rsidR="00A54E7A" w:rsidRPr="00C05870" w:rsidRDefault="00A54E7A" w:rsidP="00A54E7A">
      <w:pPr>
        <w:pStyle w:val="ListParagraph"/>
        <w:numPr>
          <w:ilvl w:val="0"/>
          <w:numId w:val="14"/>
        </w:numPr>
        <w:tabs>
          <w:tab w:val="left" w:pos="426"/>
        </w:tabs>
        <w:spacing w:after="0"/>
        <w:ind w:left="426" w:hanging="284"/>
      </w:pPr>
      <w:r w:rsidRPr="004D597C">
        <w:rPr>
          <w:b/>
        </w:rPr>
        <w:t>Read-across</w:t>
      </w:r>
      <w:r w:rsidRPr="004D597C">
        <w:t>:  If a read-across is included</w:t>
      </w:r>
      <w:r w:rsidRPr="004D597C">
        <w:rPr>
          <w:rFonts w:eastAsia="MS Mincho"/>
          <w:lang w:eastAsia="ja-JP"/>
        </w:rPr>
        <w:t>,</w:t>
      </w:r>
      <w:r w:rsidRPr="004D597C">
        <w:t xml:space="preserve"> use elements of the template for IATA case studies on Read-Across</w:t>
      </w:r>
      <w:r w:rsidR="00CB41D8" w:rsidRPr="004D597C">
        <w:t xml:space="preserve"> or the grouping guidance (</w:t>
      </w:r>
      <w:hyperlink r:id="rId39" w:history="1">
        <w:r w:rsidR="00CB41D8" w:rsidRPr="00C05870">
          <w:rPr>
            <w:rStyle w:val="Hyperlink"/>
          </w:rPr>
          <w:t>OECD, 2014a</w:t>
        </w:r>
      </w:hyperlink>
      <w:r w:rsidR="00CB41D8" w:rsidRPr="00C05870">
        <w:t>)</w:t>
      </w:r>
      <w:r w:rsidRPr="00C05870">
        <w:t>.</w:t>
      </w:r>
      <w:r w:rsidR="00CB41D8" w:rsidRPr="00C05870">
        <w:t xml:space="preserve"> Please refer to “</w:t>
      </w:r>
      <w:r w:rsidR="00CB41D8" w:rsidRPr="004D597C">
        <w:rPr>
          <w:i/>
        </w:rPr>
        <w:t>4. Identification of analogues, suitability assessment and existing data</w:t>
      </w:r>
      <w:r w:rsidR="00CB41D8" w:rsidRPr="004D597C">
        <w:t xml:space="preserve">” of the </w:t>
      </w:r>
      <w:hyperlink r:id="rId40" w:history="1">
        <w:r w:rsidR="00CB41D8" w:rsidRPr="00C05870">
          <w:rPr>
            <w:rStyle w:val="Hyperlink"/>
            <w:color w:val="auto"/>
            <w:u w:val="none"/>
          </w:rPr>
          <w:t>case study 2016-5</w:t>
        </w:r>
      </w:hyperlink>
      <w:r w:rsidR="00CB41D8" w:rsidRPr="00C05870">
        <w:t xml:space="preserve"> (</w:t>
      </w:r>
      <w:hyperlink r:id="rId41" w:history="1">
        <w:r w:rsidR="00CB41D8" w:rsidRPr="00C05870">
          <w:rPr>
            <w:rStyle w:val="Hyperlink"/>
          </w:rPr>
          <w:t>OECD, 2017</w:t>
        </w:r>
      </w:hyperlink>
      <w:r w:rsidR="00CB41D8" w:rsidRPr="00C05870">
        <w:t xml:space="preserve">) and “4.1. Analogue chemicals” of </w:t>
      </w:r>
      <w:hyperlink r:id="rId42" w:history="1">
        <w:r w:rsidR="00CB41D8" w:rsidRPr="00C05870">
          <w:rPr>
            <w:rStyle w:val="Hyperlink"/>
            <w:color w:val="auto"/>
            <w:u w:val="none"/>
          </w:rPr>
          <w:t>the case study 2017-1</w:t>
        </w:r>
      </w:hyperlink>
      <w:r w:rsidR="00CB41D8" w:rsidRPr="00C05870">
        <w:t xml:space="preserve"> (</w:t>
      </w:r>
      <w:hyperlink r:id="rId43" w:history="1">
        <w:r w:rsidR="00CB41D8" w:rsidRPr="00C05870">
          <w:rPr>
            <w:rStyle w:val="Hyperlink"/>
          </w:rPr>
          <w:t>OECD, 2018</w:t>
        </w:r>
        <w:r w:rsidR="00642FF1">
          <w:rPr>
            <w:rStyle w:val="Hyperlink"/>
          </w:rPr>
          <w:t>c</w:t>
        </w:r>
      </w:hyperlink>
      <w:r w:rsidR="00CB41D8" w:rsidRPr="00C05870">
        <w:t>)</w:t>
      </w:r>
    </w:p>
    <w:p w14:paraId="7BF5B713" w14:textId="24F813EF" w:rsidR="00D10201" w:rsidRPr="00C05870" w:rsidRDefault="00D10201" w:rsidP="009D78A4">
      <w:pPr>
        <w:spacing w:after="0" w:line="240" w:lineRule="auto"/>
        <w:ind w:left="426"/>
        <w:rPr>
          <w:highlight w:val="yellow"/>
        </w:rPr>
      </w:pPr>
    </w:p>
    <w:p w14:paraId="1C7D5036" w14:textId="09F42BD6" w:rsidR="00766144" w:rsidRPr="00C05870" w:rsidRDefault="00766144" w:rsidP="00766144">
      <w:pPr>
        <w:pStyle w:val="ListParagraph"/>
        <w:tabs>
          <w:tab w:val="left" w:pos="426"/>
        </w:tabs>
        <w:spacing w:after="0"/>
        <w:ind w:left="426"/>
      </w:pPr>
    </w:p>
    <w:p w14:paraId="0E7AE849" w14:textId="77427898" w:rsidR="007D2DC9" w:rsidRPr="004D597C" w:rsidRDefault="00B82F81" w:rsidP="00E320A4">
      <w:pPr>
        <w:tabs>
          <w:tab w:val="left" w:pos="284"/>
        </w:tabs>
        <w:rPr>
          <w:b/>
          <w:u w:val="single"/>
        </w:rPr>
      </w:pPr>
      <w:r>
        <w:rPr>
          <w:b/>
          <w:u w:val="single"/>
        </w:rPr>
        <w:t>5</w:t>
      </w:r>
      <w:r w:rsidR="007D2DC9" w:rsidRPr="004D597C">
        <w:rPr>
          <w:b/>
          <w:u w:val="single"/>
        </w:rPr>
        <w:t xml:space="preserve">. </w:t>
      </w:r>
      <w:r w:rsidR="001329A1" w:rsidRPr="004D597C">
        <w:rPr>
          <w:b/>
          <w:u w:val="single"/>
        </w:rPr>
        <w:t>Data/</w:t>
      </w:r>
      <w:r w:rsidR="007D2DC9" w:rsidRPr="004D597C">
        <w:rPr>
          <w:b/>
          <w:u w:val="single"/>
        </w:rPr>
        <w:t>Information gathering</w:t>
      </w:r>
    </w:p>
    <w:p w14:paraId="096882D7" w14:textId="20C2F394" w:rsidR="00BA593B" w:rsidRPr="004D597C" w:rsidRDefault="00BA593B" w:rsidP="001F1F6C">
      <w:pPr>
        <w:spacing w:after="0"/>
      </w:pPr>
      <w:r w:rsidRPr="004D597C">
        <w:t>In this section, please describe the test methods or data source</w:t>
      </w:r>
      <w:r w:rsidR="00322F70" w:rsidRPr="004D597C">
        <w:t>s</w:t>
      </w:r>
      <w:r w:rsidRPr="004D597C">
        <w:t xml:space="preserve"> used for gathering data for target chemicals </w:t>
      </w:r>
    </w:p>
    <w:p w14:paraId="1C2DE2A2" w14:textId="451673E2" w:rsidR="00F212BC" w:rsidRPr="004D597C" w:rsidRDefault="00437810" w:rsidP="001F1F6C">
      <w:pPr>
        <w:spacing w:after="0"/>
      </w:pPr>
      <w:r w:rsidRPr="004D597C">
        <w:t>a</w:t>
      </w:r>
      <w:r w:rsidR="007F3B6B" w:rsidRPr="004D597C">
        <w:t>. Data</w:t>
      </w:r>
      <w:r w:rsidR="003F67FE" w:rsidRPr="004D597C">
        <w:t>/Information</w:t>
      </w:r>
    </w:p>
    <w:p w14:paraId="275C177A" w14:textId="77777777" w:rsidR="009A3F8F" w:rsidRPr="00B82F81" w:rsidRDefault="002A3683" w:rsidP="00330789">
      <w:pPr>
        <w:pStyle w:val="ListParagraph"/>
        <w:numPr>
          <w:ilvl w:val="1"/>
          <w:numId w:val="9"/>
        </w:numPr>
        <w:spacing w:after="0"/>
        <w:ind w:left="426" w:hanging="283"/>
      </w:pPr>
      <w:r w:rsidRPr="009B4A6A">
        <w:t>Provide the</w:t>
      </w:r>
      <w:r w:rsidR="00F212BC" w:rsidRPr="009B4A6A">
        <w:t xml:space="preserve"> </w:t>
      </w:r>
      <w:r w:rsidR="00E66FA5" w:rsidRPr="004860C4">
        <w:t xml:space="preserve">methods </w:t>
      </w:r>
      <w:r w:rsidRPr="004860C4">
        <w:t xml:space="preserve">used </w:t>
      </w:r>
      <w:r w:rsidR="00E66FA5" w:rsidRPr="004860C4">
        <w:t xml:space="preserve">for </w:t>
      </w:r>
      <w:r w:rsidR="00F212BC" w:rsidRPr="004860C4">
        <w:t xml:space="preserve">gathering </w:t>
      </w:r>
      <w:r w:rsidR="00E66FA5" w:rsidRPr="004860C4">
        <w:t>the data</w:t>
      </w:r>
      <w:r w:rsidR="00F212BC" w:rsidRPr="004860C4">
        <w:t xml:space="preserve"> for </w:t>
      </w:r>
      <w:r w:rsidR="00E66FA5" w:rsidRPr="004860C4">
        <w:t xml:space="preserve">target </w:t>
      </w:r>
      <w:r w:rsidR="00F212BC" w:rsidRPr="004860C4">
        <w:t>chemical</w:t>
      </w:r>
      <w:r w:rsidR="00437810" w:rsidRPr="004860C4">
        <w:t>(</w:t>
      </w:r>
      <w:r w:rsidR="00F212BC" w:rsidRPr="004860C4">
        <w:t>s</w:t>
      </w:r>
      <w:r w:rsidR="00437810" w:rsidRPr="004860C4">
        <w:t>)</w:t>
      </w:r>
      <w:r w:rsidR="00FE3954" w:rsidRPr="004860C4">
        <w:t xml:space="preserve"> (e</w:t>
      </w:r>
      <w:r w:rsidR="00330789" w:rsidRPr="004860C4">
        <w:t>.</w:t>
      </w:r>
      <w:r w:rsidR="00FE3954" w:rsidRPr="004860C4">
        <w:t>g. selection criteria of the data, data source)</w:t>
      </w:r>
      <w:r w:rsidR="00352620" w:rsidRPr="00B82F81">
        <w:t>.</w:t>
      </w:r>
    </w:p>
    <w:p w14:paraId="12FD66C2" w14:textId="77777777" w:rsidR="00A54E7A" w:rsidRPr="00B82F81" w:rsidRDefault="00A54E7A" w:rsidP="009D78A4">
      <w:pPr>
        <w:pStyle w:val="ListParagraph"/>
        <w:numPr>
          <w:ilvl w:val="0"/>
          <w:numId w:val="9"/>
        </w:numPr>
        <w:spacing w:after="0" w:line="240" w:lineRule="auto"/>
        <w:ind w:left="426" w:hanging="284"/>
        <w:rPr>
          <w:rFonts w:ascii="Times New Roman" w:hAnsi="Times New Roman" w:cs="Times New Roman"/>
          <w:sz w:val="24"/>
          <w:szCs w:val="24"/>
          <w:lang w:eastAsia="ja-JP"/>
        </w:rPr>
      </w:pPr>
      <w:r w:rsidRPr="00B82F81">
        <w:t>Provide the data gathered using appropriate reporting format. The levels details for reporting the data should be considered depending on the purpose of the IATA.</w:t>
      </w:r>
      <w:r w:rsidRPr="00B82F81">
        <w:rPr>
          <w:rFonts w:ascii="Times New Roman" w:hAnsi="Times New Roman" w:cs="Times New Roman"/>
          <w:sz w:val="24"/>
          <w:szCs w:val="24"/>
          <w:lang w:eastAsia="ja-JP"/>
        </w:rPr>
        <w:t xml:space="preserve"> </w:t>
      </w:r>
    </w:p>
    <w:p w14:paraId="1E5BE63D" w14:textId="2B76B563" w:rsidR="00FE5BD9" w:rsidRPr="00C05870" w:rsidRDefault="00A54E7A" w:rsidP="002B6AAF">
      <w:pPr>
        <w:pStyle w:val="ListParagraph"/>
        <w:numPr>
          <w:ilvl w:val="0"/>
          <w:numId w:val="9"/>
        </w:numPr>
        <w:spacing w:after="0" w:line="240" w:lineRule="auto"/>
        <w:ind w:left="426" w:hanging="284"/>
      </w:pPr>
      <w:r w:rsidRPr="00B82F81">
        <w:t>If data from non-guideline test methods are included, provide descriptions of the methods or links to sources that summarise the methods. The appropriate degree of detail of the description should be considered in the context of the purpose of the case study.</w:t>
      </w:r>
      <w:r w:rsidR="00C5388D" w:rsidRPr="00B82F81">
        <w:t xml:space="preserve"> More detail</w:t>
      </w:r>
      <w:r w:rsidR="00587AC5" w:rsidRPr="00B82F81">
        <w:t>ed</w:t>
      </w:r>
      <w:r w:rsidR="00C5388D" w:rsidRPr="00B82F81">
        <w:t xml:space="preserve"> information on the methods can be included in </w:t>
      </w:r>
      <w:r w:rsidR="005C098F" w:rsidRPr="00B82F81">
        <w:t xml:space="preserve">an </w:t>
      </w:r>
      <w:r w:rsidR="00C5388D" w:rsidRPr="00B82F81">
        <w:t>Annex.</w:t>
      </w:r>
      <w:r w:rsidRPr="00B82F81">
        <w:t xml:space="preserve">  A template for the description is available in a OECD guidance document (</w:t>
      </w:r>
      <w:hyperlink r:id="rId44" w:history="1">
        <w:r w:rsidR="009C6AD3" w:rsidRPr="00C05870">
          <w:rPr>
            <w:rStyle w:val="Hyperlink"/>
          </w:rPr>
          <w:t>OECD, 2014b</w:t>
        </w:r>
      </w:hyperlink>
      <w:r w:rsidRPr="00C05870">
        <w:t>)</w:t>
      </w:r>
      <w:r w:rsidR="00D6768D">
        <w:t>.</w:t>
      </w:r>
      <w:r w:rsidRPr="00C05870">
        <w:t xml:space="preserve"> Examples of description using the template can be found in JRC </w:t>
      </w:r>
      <w:hyperlink r:id="rId45" w:history="1">
        <w:r w:rsidRPr="00C05870">
          <w:rPr>
            <w:rStyle w:val="Hyperlink"/>
          </w:rPr>
          <w:t>EURL ECVAM Database service on Alternative Methods to animal experimentation (DB-ALM)</w:t>
        </w:r>
      </w:hyperlink>
      <w:r w:rsidR="00E63863" w:rsidRPr="00C05870">
        <w:rPr>
          <w:rStyle w:val="FootnoteReference"/>
        </w:rPr>
        <w:footnoteReference w:id="5"/>
      </w:r>
      <w:r w:rsidRPr="00C05870">
        <w:t xml:space="preserve"> </w:t>
      </w:r>
      <w:r w:rsidR="00CD51AB" w:rsidRPr="00C05870">
        <w:rPr>
          <w:rFonts w:eastAsia="MS Mincho"/>
          <w:lang w:eastAsia="ja-JP"/>
        </w:rPr>
        <w:t xml:space="preserve">and </w:t>
      </w:r>
      <w:hyperlink r:id="rId46" w:history="1">
        <w:r w:rsidR="00CD51AB" w:rsidRPr="00C05870">
          <w:rPr>
            <w:rStyle w:val="Hyperlink"/>
            <w:rFonts w:eastAsia="MS Mincho"/>
            <w:lang w:eastAsia="ja-JP"/>
          </w:rPr>
          <w:t>U.S. EPA Toxicity ForeCaster (ToxCast™) Data</w:t>
        </w:r>
      </w:hyperlink>
      <w:r w:rsidR="00CD51AB" w:rsidRPr="00C05870" w:rsidDel="002F7A71">
        <w:rPr>
          <w:rFonts w:eastAsia="MS Mincho"/>
          <w:lang w:eastAsia="ja-JP"/>
        </w:rPr>
        <w:t xml:space="preserve"> </w:t>
      </w:r>
      <w:r w:rsidR="00CD51AB" w:rsidRPr="00C05870">
        <w:rPr>
          <w:rStyle w:val="FootnoteReference"/>
          <w:rFonts w:eastAsia="MS Mincho"/>
          <w:lang w:eastAsia="ja-JP"/>
        </w:rPr>
        <w:footnoteReference w:id="6"/>
      </w:r>
      <w:r w:rsidR="00E63863" w:rsidRPr="00C05870">
        <w:rPr>
          <w:rFonts w:eastAsia="MS Mincho"/>
          <w:lang w:eastAsia="ja-JP"/>
        </w:rPr>
        <w:t>.</w:t>
      </w:r>
      <w:r w:rsidRPr="00C05870">
        <w:rPr>
          <w:rFonts w:ascii="Times New Roman" w:hAnsi="Times New Roman" w:cs="Times New Roman"/>
          <w:sz w:val="24"/>
          <w:szCs w:val="24"/>
          <w:lang w:eastAsia="ja-JP"/>
        </w:rPr>
        <w:t xml:space="preserve"> </w:t>
      </w:r>
      <w:r w:rsidR="00FE5BD9" w:rsidRPr="00C05870">
        <w:t xml:space="preserve">  </w:t>
      </w:r>
    </w:p>
    <w:p w14:paraId="469C69C2" w14:textId="47222A77" w:rsidR="00555187" w:rsidRPr="00C05870" w:rsidRDefault="00555187" w:rsidP="002B6AAF">
      <w:pPr>
        <w:pStyle w:val="ListParagraph"/>
        <w:numPr>
          <w:ilvl w:val="1"/>
          <w:numId w:val="9"/>
        </w:numPr>
        <w:ind w:left="426" w:hanging="284"/>
        <w:rPr>
          <w:strike/>
        </w:rPr>
      </w:pPr>
      <w:r w:rsidRPr="004D597C">
        <w:t xml:space="preserve">If QSAR </w:t>
      </w:r>
      <w:r w:rsidR="0076155B" w:rsidRPr="004D597C">
        <w:t xml:space="preserve">data are </w:t>
      </w:r>
      <w:r w:rsidRPr="004D597C">
        <w:t>included, provide the name, version, owner of the models used for deriving QSAR estimation data.</w:t>
      </w:r>
      <w:r w:rsidR="00CD51AB" w:rsidRPr="004D597C">
        <w:t xml:space="preserve"> </w:t>
      </w:r>
      <w:r w:rsidR="00C8646F" w:rsidRPr="004D597C">
        <w:t>If not already described elsewhere</w:t>
      </w:r>
      <w:r w:rsidR="00CD51AB" w:rsidRPr="004D597C">
        <w:t xml:space="preserve"> </w:t>
      </w:r>
      <w:r w:rsidRPr="004D597C">
        <w:t xml:space="preserve">QSAR models should be reported using the </w:t>
      </w:r>
      <w:hyperlink r:id="rId47" w:history="1">
        <w:r w:rsidRPr="00132387">
          <w:rPr>
            <w:rStyle w:val="Hyperlink"/>
          </w:rPr>
          <w:t>QSAR Model Reporting Format (QMRF)</w:t>
        </w:r>
      </w:hyperlink>
      <w:r w:rsidR="00C8646F" w:rsidRPr="00C05870">
        <w:rPr>
          <w:rStyle w:val="FootnoteReference"/>
        </w:rPr>
        <w:footnoteReference w:id="7"/>
      </w:r>
      <w:r w:rsidRPr="00C05870">
        <w:t xml:space="preserve">, and individual predictions, if applicable, should be reported using the </w:t>
      </w:r>
      <w:hyperlink r:id="rId48" w:history="1">
        <w:r w:rsidRPr="00132387">
          <w:rPr>
            <w:rStyle w:val="Hyperlink"/>
          </w:rPr>
          <w:t>QSAR Prediction Reporting Format (QPRF)</w:t>
        </w:r>
      </w:hyperlink>
      <w:r w:rsidR="00C8646F" w:rsidRPr="00C05870">
        <w:rPr>
          <w:rStyle w:val="FootnoteReference"/>
        </w:rPr>
        <w:footnoteReference w:id="8"/>
      </w:r>
      <w:r w:rsidRPr="00C05870">
        <w:t>.</w:t>
      </w:r>
      <w:r w:rsidR="0024522F" w:rsidRPr="00C05870">
        <w:t xml:space="preserve"> </w:t>
      </w:r>
      <w:r w:rsidR="008269C6" w:rsidRPr="004D597C">
        <w:t xml:space="preserve"> A QMRF inventory is maintained by JRC that can be utilised as a resource of QMRFs and its reference number can be referred to </w:t>
      </w:r>
      <w:hyperlink r:id="rId49" w:history="1">
        <w:r w:rsidR="008269C6" w:rsidRPr="00C05870">
          <w:rPr>
            <w:rStyle w:val="Hyperlink"/>
          </w:rPr>
          <w:t xml:space="preserve">JRC </w:t>
        </w:r>
        <w:r w:rsidR="008269C6" w:rsidRPr="00C05870">
          <w:rPr>
            <w:rStyle w:val="Hyperlink"/>
            <w:rFonts w:eastAsia="MS Mincho"/>
            <w:lang w:eastAsia="ja-JP"/>
          </w:rPr>
          <w:t>QSAR Model databases</w:t>
        </w:r>
      </w:hyperlink>
      <w:r w:rsidR="008269C6" w:rsidRPr="00C05870">
        <w:rPr>
          <w:rStyle w:val="FootnoteReference"/>
          <w:rFonts w:eastAsia="MS Mincho"/>
          <w:lang w:eastAsia="ja-JP"/>
        </w:rPr>
        <w:footnoteReference w:id="9"/>
      </w:r>
      <w:r w:rsidR="002B6AAF" w:rsidRPr="00132387">
        <w:rPr>
          <w:rStyle w:val="Hyperlink"/>
          <w:rFonts w:eastAsia="MS Mincho"/>
          <w:color w:val="auto"/>
          <w:u w:val="none"/>
          <w:lang w:eastAsia="ja-JP"/>
        </w:rPr>
        <w:t xml:space="preserve">. </w:t>
      </w:r>
      <w:r w:rsidR="005C098F" w:rsidRPr="00132387">
        <w:rPr>
          <w:rStyle w:val="Hyperlink"/>
          <w:rFonts w:eastAsia="MS Mincho"/>
          <w:color w:val="auto"/>
          <w:u w:val="none"/>
          <w:lang w:eastAsia="ja-JP"/>
        </w:rPr>
        <w:t>QPRF</w:t>
      </w:r>
      <w:r w:rsidR="00CE3313" w:rsidRPr="00132387">
        <w:rPr>
          <w:rStyle w:val="Hyperlink"/>
          <w:rFonts w:eastAsia="MS Mincho"/>
          <w:color w:val="auto"/>
          <w:u w:val="none"/>
          <w:lang w:eastAsia="ja-JP"/>
        </w:rPr>
        <w:t>(s) and QMRF should</w:t>
      </w:r>
      <w:r w:rsidR="002B6AAF" w:rsidRPr="00132387">
        <w:rPr>
          <w:rStyle w:val="Hyperlink"/>
          <w:rFonts w:eastAsia="MS Mincho"/>
          <w:color w:val="auto"/>
          <w:u w:val="none"/>
          <w:lang w:eastAsia="ja-JP"/>
        </w:rPr>
        <w:t xml:space="preserve"> be included in Annex.</w:t>
      </w:r>
    </w:p>
    <w:p w14:paraId="799208C5" w14:textId="7141B837" w:rsidR="00213ECE" w:rsidRPr="00C05870" w:rsidRDefault="00213ECE" w:rsidP="00810973">
      <w:pPr>
        <w:pStyle w:val="ListParagraph"/>
        <w:numPr>
          <w:ilvl w:val="1"/>
          <w:numId w:val="9"/>
        </w:numPr>
        <w:ind w:left="426" w:hanging="284"/>
      </w:pPr>
      <w:r w:rsidRPr="004D597C">
        <w:rPr>
          <w:rFonts w:eastAsia="MS Mincho"/>
          <w:lang w:eastAsia="ja-JP"/>
        </w:rPr>
        <w:t xml:space="preserve">If the exposure elements are included, provide the </w:t>
      </w:r>
      <w:r w:rsidR="00DA292C" w:rsidRPr="004D597C">
        <w:rPr>
          <w:rFonts w:eastAsia="MS Mincho"/>
          <w:lang w:eastAsia="ja-JP"/>
        </w:rPr>
        <w:t xml:space="preserve">methods used for the </w:t>
      </w:r>
      <w:r w:rsidRPr="004D597C">
        <w:rPr>
          <w:rFonts w:eastAsia="MS Mincho"/>
          <w:lang w:eastAsia="ja-JP"/>
        </w:rPr>
        <w:t xml:space="preserve">data </w:t>
      </w:r>
      <w:r w:rsidR="00DA292C" w:rsidRPr="004D597C">
        <w:rPr>
          <w:rFonts w:eastAsia="MS Mincho"/>
          <w:lang w:eastAsia="ja-JP"/>
        </w:rPr>
        <w:t xml:space="preserve">generation (e.g. data </w:t>
      </w:r>
      <w:r w:rsidRPr="004D597C">
        <w:rPr>
          <w:rFonts w:eastAsia="MS Mincho"/>
          <w:lang w:eastAsia="ja-JP"/>
        </w:rPr>
        <w:t>source</w:t>
      </w:r>
      <w:r w:rsidR="00DA292C" w:rsidRPr="004D597C">
        <w:rPr>
          <w:rFonts w:eastAsia="MS Mincho"/>
          <w:lang w:eastAsia="ja-JP"/>
        </w:rPr>
        <w:t>,</w:t>
      </w:r>
      <w:r w:rsidRPr="004D597C">
        <w:rPr>
          <w:rFonts w:eastAsia="MS Mincho"/>
          <w:lang w:eastAsia="ja-JP"/>
        </w:rPr>
        <w:t xml:space="preserve"> </w:t>
      </w:r>
      <w:r w:rsidR="00DA292C" w:rsidRPr="004D597C">
        <w:rPr>
          <w:rFonts w:eastAsia="MS Mincho"/>
          <w:lang w:eastAsia="ja-JP"/>
        </w:rPr>
        <w:t>exposure</w:t>
      </w:r>
      <w:r w:rsidRPr="004D597C">
        <w:rPr>
          <w:rFonts w:eastAsia="MS Mincho"/>
          <w:lang w:eastAsia="ja-JP"/>
        </w:rPr>
        <w:t xml:space="preserve"> model</w:t>
      </w:r>
      <w:r w:rsidR="00DA292C" w:rsidRPr="004D597C">
        <w:rPr>
          <w:rFonts w:eastAsia="MS Mincho"/>
          <w:lang w:eastAsia="ja-JP"/>
        </w:rPr>
        <w:t>s/tools</w:t>
      </w:r>
      <w:r w:rsidR="006100B7" w:rsidRPr="004D597C">
        <w:rPr>
          <w:rFonts w:eastAsia="MS Mincho"/>
          <w:lang w:eastAsia="ja-JP"/>
        </w:rPr>
        <w:t>.</w:t>
      </w:r>
      <w:r w:rsidR="00DA292C" w:rsidRPr="004D597C">
        <w:rPr>
          <w:rFonts w:eastAsia="MS Mincho"/>
          <w:lang w:eastAsia="ja-JP"/>
        </w:rPr>
        <w:t>)</w:t>
      </w:r>
      <w:r w:rsidR="00D6768D">
        <w:rPr>
          <w:rFonts w:eastAsia="MS Mincho"/>
          <w:lang w:eastAsia="ja-JP"/>
        </w:rPr>
        <w:t>.</w:t>
      </w:r>
      <w:r w:rsidR="0024522F" w:rsidRPr="004D597C">
        <w:rPr>
          <w:rFonts w:eastAsia="MS Mincho"/>
          <w:lang w:eastAsia="ja-JP"/>
        </w:rPr>
        <w:t xml:space="preserve"> </w:t>
      </w:r>
      <w:r w:rsidR="00CB41D8" w:rsidRPr="004D597C">
        <w:rPr>
          <w:rFonts w:eastAsia="MS Mincho"/>
          <w:lang w:eastAsia="ja-JP"/>
        </w:rPr>
        <w:t xml:space="preserve">Please refer to </w:t>
      </w:r>
      <w:r w:rsidR="002E6144" w:rsidRPr="004D597C">
        <w:rPr>
          <w:rFonts w:eastAsia="MS Mincho"/>
          <w:lang w:eastAsia="ja-JP"/>
        </w:rPr>
        <w:t xml:space="preserve">“2. Identification of the use scenario of the </w:t>
      </w:r>
      <w:hyperlink r:id="rId50" w:history="1">
        <w:r w:rsidR="002E6144" w:rsidRPr="00C05870">
          <w:rPr>
            <w:rStyle w:val="Hyperlink"/>
            <w:rFonts w:eastAsia="MS Mincho"/>
            <w:color w:val="auto"/>
            <w:u w:val="none"/>
            <w:lang w:eastAsia="ja-JP"/>
          </w:rPr>
          <w:t>case study 2016-5</w:t>
        </w:r>
      </w:hyperlink>
      <w:r w:rsidR="002E6144" w:rsidRPr="00C05870">
        <w:rPr>
          <w:rFonts w:eastAsia="MS Mincho"/>
          <w:lang w:eastAsia="ja-JP"/>
        </w:rPr>
        <w:t xml:space="preserve"> (</w:t>
      </w:r>
      <w:hyperlink r:id="rId51" w:history="1">
        <w:r w:rsidR="002E6144" w:rsidRPr="00C05870">
          <w:rPr>
            <w:rStyle w:val="Hyperlink"/>
            <w:rFonts w:eastAsia="MS Mincho"/>
            <w:lang w:eastAsia="ja-JP"/>
          </w:rPr>
          <w:t>OECD, 2017</w:t>
        </w:r>
      </w:hyperlink>
      <w:r w:rsidR="002E6144" w:rsidRPr="00C05870">
        <w:rPr>
          <w:rFonts w:eastAsia="MS Mincho"/>
          <w:lang w:eastAsia="ja-JP"/>
        </w:rPr>
        <w:t>)” and “</w:t>
      </w:r>
      <w:r w:rsidR="002E6144" w:rsidRPr="00C05870">
        <w:rPr>
          <w:rFonts w:eastAsia="MS Mincho"/>
          <w:i/>
          <w:lang w:eastAsia="ja-JP"/>
        </w:rPr>
        <w:t>Exposure profiling</w:t>
      </w:r>
      <w:r w:rsidR="002E6144" w:rsidRPr="00C05870">
        <w:rPr>
          <w:rFonts w:eastAsia="MS Mincho"/>
          <w:lang w:eastAsia="ja-JP"/>
        </w:rPr>
        <w:t xml:space="preserve">” of the </w:t>
      </w:r>
      <w:hyperlink r:id="rId52" w:history="1">
        <w:r w:rsidR="002E6144" w:rsidRPr="00C05870">
          <w:rPr>
            <w:rStyle w:val="Hyperlink"/>
            <w:rFonts w:eastAsia="MS Mincho"/>
            <w:color w:val="auto"/>
            <w:u w:val="none"/>
            <w:lang w:eastAsia="ja-JP"/>
          </w:rPr>
          <w:t>case study 2017-2</w:t>
        </w:r>
      </w:hyperlink>
      <w:r w:rsidR="002E6144" w:rsidRPr="00C05870">
        <w:rPr>
          <w:rFonts w:eastAsia="MS Mincho"/>
          <w:lang w:eastAsia="ja-JP"/>
        </w:rPr>
        <w:t xml:space="preserve"> (</w:t>
      </w:r>
      <w:hyperlink r:id="rId53" w:history="1">
        <w:r w:rsidR="002E6144" w:rsidRPr="00C05870">
          <w:rPr>
            <w:rStyle w:val="Hyperlink"/>
            <w:rFonts w:eastAsia="MS Mincho"/>
            <w:lang w:eastAsia="ja-JP"/>
          </w:rPr>
          <w:t>OECD, 2018</w:t>
        </w:r>
        <w:r w:rsidR="00BE2416">
          <w:rPr>
            <w:rStyle w:val="Hyperlink"/>
            <w:rFonts w:eastAsia="MS Mincho"/>
            <w:lang w:eastAsia="ja-JP"/>
          </w:rPr>
          <w:t>b</w:t>
        </w:r>
      </w:hyperlink>
      <w:r w:rsidR="002E6144" w:rsidRPr="00C05870">
        <w:rPr>
          <w:rFonts w:eastAsia="MS Mincho"/>
          <w:lang w:eastAsia="ja-JP"/>
        </w:rPr>
        <w:t>)</w:t>
      </w:r>
      <w:r w:rsidR="00F43CAC">
        <w:rPr>
          <w:rFonts w:eastAsia="MS Mincho"/>
          <w:lang w:eastAsia="ja-JP"/>
        </w:rPr>
        <w:t>. If PBK models are included, please refer to OECD guidance (OECD, 2021b) of PBK which provide c</w:t>
      </w:r>
      <w:r w:rsidR="00F43CAC" w:rsidRPr="00F43CAC">
        <w:t>haracterisation, Validation and Reporting of PBK models</w:t>
      </w:r>
      <w:r w:rsidR="00F43CAC">
        <w:t>.</w:t>
      </w:r>
    </w:p>
    <w:p w14:paraId="726770D7" w14:textId="467E7046" w:rsidR="0071783B" w:rsidRPr="00C05870" w:rsidRDefault="0071783B" w:rsidP="002B6AAF">
      <w:pPr>
        <w:pStyle w:val="ListParagraph"/>
        <w:numPr>
          <w:ilvl w:val="1"/>
          <w:numId w:val="9"/>
        </w:numPr>
        <w:ind w:left="426" w:hanging="284"/>
      </w:pPr>
      <w:r w:rsidRPr="004D597C">
        <w:t xml:space="preserve">If a defined approach is included, please refer </w:t>
      </w:r>
      <w:r w:rsidR="002137C8" w:rsidRPr="004D597C">
        <w:t>to</w:t>
      </w:r>
      <w:r w:rsidRPr="004D597C">
        <w:t xml:space="preserve"> the template of "Guidance Document on the Reporting of Defined Approaches to be used within Integrated Approaches to Testing and Assessment" (</w:t>
      </w:r>
      <w:hyperlink r:id="rId54" w:history="1">
        <w:r w:rsidR="00E95362" w:rsidRPr="00C05870">
          <w:rPr>
            <w:rStyle w:val="Hyperlink"/>
          </w:rPr>
          <w:t>OECD, 2016</w:t>
        </w:r>
        <w:r w:rsidR="004860C4">
          <w:rPr>
            <w:rStyle w:val="Hyperlink"/>
          </w:rPr>
          <w:t>c</w:t>
        </w:r>
      </w:hyperlink>
      <w:r w:rsidRPr="00C05870">
        <w:t>). In this section, please describe the individual information source</w:t>
      </w:r>
      <w:r w:rsidR="002137C8" w:rsidRPr="00C05870">
        <w:t>s</w:t>
      </w:r>
      <w:r w:rsidRPr="00C05870">
        <w:t xml:space="preserve"> used</w:t>
      </w:r>
      <w:r w:rsidR="009B6AC2" w:rsidRPr="004D597C">
        <w:t xml:space="preserve"> and data interpretation procedure applied</w:t>
      </w:r>
      <w:r w:rsidR="00A35ED9" w:rsidRPr="004D597C">
        <w:t xml:space="preserve"> (See “</w:t>
      </w:r>
      <w:r w:rsidR="00A35ED9" w:rsidRPr="004D597C">
        <w:rPr>
          <w:i/>
        </w:rPr>
        <w:t>6. Description of the individual information sources used (see Annex II)</w:t>
      </w:r>
      <w:r w:rsidR="00A35ED9" w:rsidRPr="004D597C">
        <w:t>” and “</w:t>
      </w:r>
      <w:r w:rsidR="00A35ED9" w:rsidRPr="004D597C">
        <w:rPr>
          <w:i/>
        </w:rPr>
        <w:t>7. Data interpretation procedure applied</w:t>
      </w:r>
      <w:r w:rsidR="00A35ED9" w:rsidRPr="004D597C">
        <w:t>”</w:t>
      </w:r>
      <w:r w:rsidR="009C6AD3" w:rsidRPr="004D597C">
        <w:t xml:space="preserve"> of the OECD guidance (</w:t>
      </w:r>
      <w:hyperlink r:id="rId55" w:history="1">
        <w:r w:rsidR="00E95362" w:rsidRPr="00C05870">
          <w:rPr>
            <w:rStyle w:val="Hyperlink"/>
          </w:rPr>
          <w:t>OECD, 2016</w:t>
        </w:r>
        <w:r w:rsidR="004860C4">
          <w:rPr>
            <w:rStyle w:val="Hyperlink"/>
          </w:rPr>
          <w:t>c</w:t>
        </w:r>
      </w:hyperlink>
      <w:r w:rsidR="00A35ED9" w:rsidRPr="00C05870">
        <w:t>)</w:t>
      </w:r>
      <w:r w:rsidR="009B6AC2" w:rsidRPr="00C05870">
        <w:t>.</w:t>
      </w:r>
      <w:r w:rsidR="00107D99" w:rsidRPr="00C05870">
        <w:t xml:space="preserve"> </w:t>
      </w:r>
      <w:r w:rsidR="002B6AAF" w:rsidRPr="004D597C">
        <w:t>Detail</w:t>
      </w:r>
      <w:r w:rsidR="005F1AEE" w:rsidRPr="004D597C">
        <w:t>ed</w:t>
      </w:r>
      <w:r w:rsidR="002B6AAF" w:rsidRPr="00C05870">
        <w:t xml:space="preserve"> information on the defined approaches can be included in </w:t>
      </w:r>
      <w:r w:rsidR="00587AC5" w:rsidRPr="00C05870">
        <w:t xml:space="preserve">the </w:t>
      </w:r>
      <w:r w:rsidR="002B6AAF" w:rsidRPr="004D597C">
        <w:t xml:space="preserve">Annex. </w:t>
      </w:r>
      <w:r w:rsidR="00107D99" w:rsidRPr="004D597C">
        <w:t>Please refer to the section “4. Data/Information Gathering” of the case study 2018-2 (</w:t>
      </w:r>
      <w:hyperlink r:id="rId56" w:history="1">
        <w:r w:rsidR="00107D99" w:rsidRPr="00952B38">
          <w:rPr>
            <w:rStyle w:val="Hyperlink"/>
          </w:rPr>
          <w:t>OECD, 201</w:t>
        </w:r>
        <w:r w:rsidR="002B6AAF" w:rsidRPr="00952B38">
          <w:rPr>
            <w:rStyle w:val="Hyperlink"/>
          </w:rPr>
          <w:t>9</w:t>
        </w:r>
        <w:r w:rsidR="005F1AEE" w:rsidRPr="00952B38">
          <w:rPr>
            <w:rStyle w:val="Hyperlink"/>
          </w:rPr>
          <w:t>b</w:t>
        </w:r>
      </w:hyperlink>
      <w:r w:rsidR="00107D99" w:rsidRPr="00C05870">
        <w:t>).</w:t>
      </w:r>
    </w:p>
    <w:p w14:paraId="267CCEC7" w14:textId="6CB5D538" w:rsidR="00F52362" w:rsidRPr="00C05870" w:rsidRDefault="00F52362" w:rsidP="002B6AAF">
      <w:pPr>
        <w:pStyle w:val="ListParagraph"/>
        <w:numPr>
          <w:ilvl w:val="1"/>
          <w:numId w:val="9"/>
        </w:numPr>
        <w:ind w:left="426" w:hanging="284"/>
      </w:pPr>
      <w:r w:rsidRPr="004D597C">
        <w:t xml:space="preserve">If high throughput or omics data are used then indicate how the data has been applied in the specific case study ie to support </w:t>
      </w:r>
      <w:r w:rsidR="00912751" w:rsidRPr="00912751">
        <w:rPr>
          <w:i/>
        </w:rPr>
        <w:t>in vivo</w:t>
      </w:r>
      <w:r w:rsidRPr="00C05870">
        <w:t>/</w:t>
      </w:r>
      <w:r w:rsidR="00912751" w:rsidRPr="00912751">
        <w:rPr>
          <w:i/>
        </w:rPr>
        <w:t>vitro</w:t>
      </w:r>
      <w:r w:rsidRPr="00C05870">
        <w:t xml:space="preserve"> data or any other reason etc</w:t>
      </w:r>
      <w:r w:rsidR="00D6768D">
        <w:t>.</w:t>
      </w:r>
    </w:p>
    <w:p w14:paraId="6C412C6F" w14:textId="2C87EB13" w:rsidR="00CE3313" w:rsidRPr="00C05870" w:rsidRDefault="00CE3313" w:rsidP="00485DFF">
      <w:pPr>
        <w:pStyle w:val="ListParagraph"/>
        <w:numPr>
          <w:ilvl w:val="0"/>
          <w:numId w:val="9"/>
        </w:numPr>
        <w:ind w:left="426" w:hanging="284"/>
      </w:pPr>
      <w:r w:rsidRPr="00C05870">
        <w:lastRenderedPageBreak/>
        <w:t xml:space="preserve">Provide justification/purpose for each assay/information used. Only </w:t>
      </w:r>
      <w:r w:rsidR="005F1AEE" w:rsidRPr="004D597C">
        <w:t xml:space="preserve">necessary </w:t>
      </w:r>
      <w:r w:rsidRPr="004D597C">
        <w:t>information should be provided, avoid giving information not directly useful for your Case Study (do not provide data just because you have it).</w:t>
      </w:r>
    </w:p>
    <w:p w14:paraId="0CC7E3F2" w14:textId="77777777" w:rsidR="002B6AAF" w:rsidRPr="00C05870" w:rsidRDefault="002B6AAF" w:rsidP="004B76B5">
      <w:pPr>
        <w:pStyle w:val="ListParagraph"/>
        <w:ind w:left="426"/>
      </w:pPr>
    </w:p>
    <w:p w14:paraId="4140884E" w14:textId="4C81D8A0" w:rsidR="00FC3B2F" w:rsidRPr="00C05870" w:rsidRDefault="00FC3B2F" w:rsidP="004B76B5">
      <w:pPr>
        <w:pStyle w:val="ListParagraph"/>
        <w:ind w:left="426"/>
      </w:pPr>
      <w:r w:rsidRPr="001E2ECF">
        <w:rPr>
          <w:noProof/>
          <w:lang w:eastAsia="ja-JP"/>
        </w:rPr>
        <mc:AlternateContent>
          <mc:Choice Requires="wps">
            <w:drawing>
              <wp:inline distT="0" distB="0" distL="0" distR="0" wp14:anchorId="4B72D21D" wp14:editId="093B1FA9">
                <wp:extent cx="5257800" cy="1095375"/>
                <wp:effectExtent l="0" t="0" r="19050" b="28575"/>
                <wp:docPr id="1" name="Text Box 1"/>
                <wp:cNvGraphicFramePr/>
                <a:graphic xmlns:a="http://schemas.openxmlformats.org/drawingml/2006/main">
                  <a:graphicData uri="http://schemas.microsoft.com/office/word/2010/wordprocessingShape">
                    <wps:wsp>
                      <wps:cNvSpPr txBox="1"/>
                      <wps:spPr>
                        <a:xfrm>
                          <a:off x="0" y="0"/>
                          <a:ext cx="5257800" cy="1095375"/>
                        </a:xfrm>
                        <a:prstGeom prst="rect">
                          <a:avLst/>
                        </a:prstGeom>
                        <a:solidFill>
                          <a:schemeClr val="lt1"/>
                        </a:solidFill>
                        <a:ln w="6350">
                          <a:solidFill>
                            <a:prstClr val="black"/>
                          </a:solidFill>
                        </a:ln>
                      </wps:spPr>
                      <wps:txbx>
                        <w:txbxContent>
                          <w:p w14:paraId="469AD4AD" w14:textId="3217BCAD" w:rsidR="00952B38" w:rsidRDefault="00952B38">
                            <w:r>
                              <w:t xml:space="preserve">Please include a summary </w:t>
                            </w:r>
                            <w:r w:rsidRPr="00890FED">
                              <w:t xml:space="preserve">text box at the end of </w:t>
                            </w:r>
                            <w:r w:rsidRPr="00FC3B2F">
                              <w:t xml:space="preserve">each </w:t>
                            </w:r>
                            <w:r>
                              <w:t>sub</w:t>
                            </w:r>
                            <w:r w:rsidRPr="00FC3B2F">
                              <w:t xml:space="preserve">section with </w:t>
                            </w:r>
                            <w:r>
                              <w:t xml:space="preserve">the key </w:t>
                            </w:r>
                            <w:r w:rsidRPr="00FC3B2F">
                              <w:t>highlight</w:t>
                            </w:r>
                            <w:r>
                              <w:t>s or conclusions of the subsection, which would impact on the conclusion,</w:t>
                            </w:r>
                            <w:r w:rsidRPr="00BB34BD">
                              <w:t xml:space="preserve"> if authors believe this would help the readers</w:t>
                            </w:r>
                            <w:r>
                              <w:t>. Summary text box applied in section “</w:t>
                            </w:r>
                            <w:r w:rsidRPr="00132387">
                              <w:rPr>
                                <w:i/>
                              </w:rPr>
                              <w:t>CHEMICAL SAFETY ASSESSMENT WORKFLOW PROPOSED</w:t>
                            </w:r>
                            <w:r>
                              <w:t>”</w:t>
                            </w:r>
                            <w:r w:rsidRPr="004444AD">
                              <w:t xml:space="preserve"> </w:t>
                            </w:r>
                            <w:r>
                              <w:t>in Case Study 2016-5 can be referred (</w:t>
                            </w:r>
                            <w:hyperlink r:id="rId57" w:history="1">
                              <w:r w:rsidRPr="0076110D">
                                <w:rPr>
                                  <w:rStyle w:val="Hyperlink"/>
                                </w:rPr>
                                <w:t>OECD, 2017</w:t>
                              </w:r>
                            </w:hyperlink>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72D21D" id="Text Box 1" o:spid="_x0000_s1027" type="#_x0000_t202" style="width:414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hGTgIAAKkEAAAOAAAAZHJzL2Uyb0RvYy54bWysVN9v2jAQfp+0/8Hy+0ig0B8RoWJUTJNQ&#10;WwmqPhvHJtEcn2cbEvbX7+wESrs9TXsx57svn+++u2N639aKHIR1FeicDgcpJUJzKCq9y+nLZvnl&#10;lhLnmS6YAi1yehSO3s8+f5o2JhMjKEEVwhIk0S5rTE5L702WJI6XomZuAEZoDEqwNfN4tbuksKxB&#10;9lolozS9ThqwhbHAhXPofeiCdBb5pRTcP0nphCcqp5ibj6eN5zacyWzKsp1lpqx4nwb7hyxqVml8&#10;9Ez1wDwje1v9QVVX3IID6Qcc6gSkrLiINWA1w/RDNeuSGRFrQXGcOcvk/h8tfzw8W1IV2DtKNKux&#10;RRvRevIVWjIM6jTGZQhaG4T5Ft0B2fsdOkPRrbR1+MVyCMZR5+NZ20DG0TkZTW5uUwxxjA3Tu8nV&#10;zSTwJG+fG+v8NwE1CUZOLTYvasoOK+c76AkSXnOgqmJZKRUvYWDEQllyYNhq5WOSSP4OpTRpcnp9&#10;NUkj8btYoD5/v1WM/+jTu0Ahn9KYcxClKz5Yvt22vYS9MFsojqiXhW7enOHLCulXzPlnZnHAUAdc&#10;Gv+Eh1SAOUFvUVKC/fU3f8Bj3zFKSYMDm1P3c8+soER91zgRd8PxOEx4vIwnNyO82MvI9jKi9/UC&#10;UCjsOmYXzYD36mRKC/Ur7tY8vIohpjm+nVN/Mhe+WyPcTS7m8wjCmTbMr/Ta8EAdGhNk3bSvzJq+&#10;rR4n4hFOo82yD93tsOFLDfO9B1nF1gedO1V7+XEf4vD0uxsW7vIeUW//MLPfAAAA//8DAFBLAwQU&#10;AAYACAAAACEAAC1HmtgAAAAFAQAADwAAAGRycy9kb3ducmV2LnhtbEyPwU7DMBBE70j8g7VI3KhD&#10;JMCEOBWgwoUTBXHexls7IrYj203D37NwgctKoxnNvmnXix/FTCkPMWi4XFUgKPTRDMFqeH97ulAg&#10;csFgcIyBNHxRhnV3etJiY+IxvNK8LVZwScgNanClTI2UuXfkMa/iRIG9fUweC8tkpUl45HI/yrqq&#10;rqXHIfAHhxM9Ouo/twevYfNgb22vMLmNMsMwLx/7F/us9fnZcn8HotBS/sLwg8/o0DHTLh6CyWLU&#10;wEPK72VP1YrljkM39RXIrpX/6btvAAAA//8DAFBLAQItABQABgAIAAAAIQC2gziS/gAAAOEBAAAT&#10;AAAAAAAAAAAAAAAAAAAAAABbQ29udGVudF9UeXBlc10ueG1sUEsBAi0AFAAGAAgAAAAhADj9If/W&#10;AAAAlAEAAAsAAAAAAAAAAAAAAAAALwEAAF9yZWxzLy5yZWxzUEsBAi0AFAAGAAgAAAAhABcJOEZO&#10;AgAAqQQAAA4AAAAAAAAAAAAAAAAALgIAAGRycy9lMm9Eb2MueG1sUEsBAi0AFAAGAAgAAAAhAAAt&#10;R5rYAAAABQEAAA8AAAAAAAAAAAAAAAAAqAQAAGRycy9kb3ducmV2LnhtbFBLBQYAAAAABAAEAPMA&#10;AACtBQAAAAA=&#10;" fillcolor="white [3201]" strokeweight=".5pt">
                <v:textbox>
                  <w:txbxContent>
                    <w:p w14:paraId="469AD4AD" w14:textId="3217BCAD" w:rsidR="00952B38" w:rsidRDefault="00952B38">
                      <w:r>
                        <w:t xml:space="preserve">Please include a summary </w:t>
                      </w:r>
                      <w:r w:rsidRPr="00890FED">
                        <w:t xml:space="preserve">text box at the end of </w:t>
                      </w:r>
                      <w:r w:rsidRPr="00FC3B2F">
                        <w:t xml:space="preserve">each </w:t>
                      </w:r>
                      <w:r>
                        <w:t>sub</w:t>
                      </w:r>
                      <w:r w:rsidRPr="00FC3B2F">
                        <w:t xml:space="preserve">section with </w:t>
                      </w:r>
                      <w:r>
                        <w:t xml:space="preserve">the key </w:t>
                      </w:r>
                      <w:r w:rsidRPr="00FC3B2F">
                        <w:t>highlight</w:t>
                      </w:r>
                      <w:r>
                        <w:t>s or conclusions of the subsection, which would impact on the conclusion,</w:t>
                      </w:r>
                      <w:r w:rsidRPr="00BB34BD">
                        <w:t xml:space="preserve"> if authors believe this would help the readers</w:t>
                      </w:r>
                      <w:r>
                        <w:t>. Summary text box applied in section “</w:t>
                      </w:r>
                      <w:r w:rsidRPr="00132387">
                        <w:rPr>
                          <w:i/>
                        </w:rPr>
                        <w:t>CHEMICAL SAFETY ASSESSMENT WORKFLOW PROPOSED</w:t>
                      </w:r>
                      <w:r>
                        <w:t>”</w:t>
                      </w:r>
                      <w:r w:rsidRPr="004444AD">
                        <w:t xml:space="preserve"> </w:t>
                      </w:r>
                      <w:r>
                        <w:t>in Case Study 2016-5 can be referred (</w:t>
                      </w:r>
                      <w:hyperlink r:id="rId58" w:history="1">
                        <w:r w:rsidRPr="0076110D">
                          <w:rPr>
                            <w:rStyle w:val="Hyperlink"/>
                          </w:rPr>
                          <w:t>OECD, 2017</w:t>
                        </w:r>
                      </w:hyperlink>
                      <w:r>
                        <w:t>)</w:t>
                      </w:r>
                    </w:p>
                  </w:txbxContent>
                </v:textbox>
                <w10:anchorlock/>
              </v:shape>
            </w:pict>
          </mc:Fallback>
        </mc:AlternateContent>
      </w:r>
    </w:p>
    <w:p w14:paraId="0560CAF1" w14:textId="77777777" w:rsidR="00437810" w:rsidRPr="004D597C" w:rsidRDefault="00437810" w:rsidP="00437810">
      <w:pPr>
        <w:tabs>
          <w:tab w:val="left" w:pos="284"/>
        </w:tabs>
        <w:spacing w:after="0"/>
      </w:pPr>
      <w:r w:rsidRPr="004D597C">
        <w:t>b. Analogue chemicals.</w:t>
      </w:r>
    </w:p>
    <w:p w14:paraId="6D562324" w14:textId="2456EBCE" w:rsidR="00437810" w:rsidRPr="00C05870" w:rsidRDefault="00437810" w:rsidP="00437810">
      <w:pPr>
        <w:pStyle w:val="ListParagraph"/>
        <w:numPr>
          <w:ilvl w:val="1"/>
          <w:numId w:val="9"/>
        </w:numPr>
        <w:tabs>
          <w:tab w:val="left" w:pos="426"/>
        </w:tabs>
        <w:spacing w:after="240"/>
        <w:ind w:left="426" w:hanging="284"/>
      </w:pPr>
      <w:r w:rsidRPr="004D597C">
        <w:t xml:space="preserve">If the data of analogue chemicals were used for the IATA, provide the selection criteria that were used to identify the analogue chemicals. This can be based on the hypothesis described in section </w:t>
      </w:r>
      <w:r w:rsidR="0030040E" w:rsidRPr="004D597C">
        <w:t>3</w:t>
      </w:r>
      <w:r w:rsidRPr="00C05870">
        <w:t>.</w:t>
      </w:r>
    </w:p>
    <w:p w14:paraId="1C8F00A2" w14:textId="77777777" w:rsidR="00437810" w:rsidRPr="004D597C" w:rsidRDefault="00437810" w:rsidP="00437810">
      <w:pPr>
        <w:pStyle w:val="ListParagraph"/>
        <w:numPr>
          <w:ilvl w:val="1"/>
          <w:numId w:val="9"/>
        </w:numPr>
        <w:tabs>
          <w:tab w:val="left" w:pos="426"/>
        </w:tabs>
        <w:spacing w:after="240"/>
        <w:ind w:left="426" w:hanging="284"/>
      </w:pPr>
      <w:r w:rsidRPr="004D597C">
        <w:rPr>
          <w:rFonts w:eastAsia="MS Mincho"/>
          <w:lang w:eastAsia="ja-JP"/>
        </w:rPr>
        <w:t>Provide rational for selection of analogue(s) with respect to the defined purpose and endpoint.</w:t>
      </w:r>
    </w:p>
    <w:p w14:paraId="351817B3" w14:textId="77777777" w:rsidR="00437810" w:rsidRPr="004D597C" w:rsidRDefault="00437810" w:rsidP="00437810">
      <w:pPr>
        <w:pStyle w:val="ListParagraph"/>
        <w:numPr>
          <w:ilvl w:val="1"/>
          <w:numId w:val="9"/>
        </w:numPr>
        <w:tabs>
          <w:tab w:val="left" w:pos="426"/>
        </w:tabs>
        <w:spacing w:after="240"/>
        <w:ind w:left="426" w:hanging="284"/>
      </w:pPr>
      <w:r w:rsidRPr="004D597C">
        <w:t>Consider</w:t>
      </w:r>
      <w:r w:rsidRPr="004D597C">
        <w:rPr>
          <w:rFonts w:eastAsia="MS Mincho"/>
          <w:lang w:eastAsia="ja-JP"/>
        </w:rPr>
        <w:t xml:space="preserve"> selection bias selecting analogue chemicals in relation to employment of the IATA (e.g. data completeness, support for hypothesis etc.).</w:t>
      </w:r>
    </w:p>
    <w:p w14:paraId="7852077D" w14:textId="77777777" w:rsidR="00437810" w:rsidRPr="004D597C" w:rsidRDefault="00437810" w:rsidP="00437810">
      <w:pPr>
        <w:pStyle w:val="ListParagraph"/>
        <w:numPr>
          <w:ilvl w:val="1"/>
          <w:numId w:val="9"/>
        </w:numPr>
        <w:tabs>
          <w:tab w:val="left" w:pos="426"/>
        </w:tabs>
        <w:spacing w:after="240"/>
        <w:ind w:left="426" w:hanging="284"/>
      </w:pPr>
      <w:r w:rsidRPr="004D597C">
        <w:t>Describe the methods used to identify the analogue chemicals (e.g. inventories and tools used should be provided). Listing search criteria to establish initial pool of candidate analogues is helpful.</w:t>
      </w:r>
    </w:p>
    <w:p w14:paraId="7DF641F7" w14:textId="4F6668E4" w:rsidR="00437810" w:rsidRPr="00132387" w:rsidRDefault="00437810" w:rsidP="003F67FE">
      <w:pPr>
        <w:pStyle w:val="ListParagraph"/>
        <w:numPr>
          <w:ilvl w:val="1"/>
          <w:numId w:val="9"/>
        </w:numPr>
        <w:tabs>
          <w:tab w:val="left" w:pos="426"/>
        </w:tabs>
        <w:ind w:left="426" w:hanging="284"/>
        <w:rPr>
          <w:b/>
        </w:rPr>
      </w:pPr>
      <w:r w:rsidRPr="004D597C">
        <w:t>Provide the common chemical identifiers (including CAS number</w:t>
      </w:r>
      <w:r w:rsidRPr="004D597C">
        <w:rPr>
          <w:rFonts w:eastAsia="MS Mincho"/>
          <w:lang w:eastAsia="ja-JP"/>
        </w:rPr>
        <w:t xml:space="preserve">, </w:t>
      </w:r>
      <w:r w:rsidRPr="004D597C">
        <w:t>name</w:t>
      </w:r>
      <w:r w:rsidRPr="004D597C">
        <w:rPr>
          <w:rFonts w:eastAsia="MS Mincho"/>
          <w:lang w:eastAsia="ja-JP"/>
        </w:rPr>
        <w:t xml:space="preserve"> and composition including impurities</w:t>
      </w:r>
      <w:r w:rsidRPr="004D597C">
        <w:t>) and chemical structure(s) of the analogue chemicals.</w:t>
      </w:r>
      <w:r w:rsidR="0024522F" w:rsidRPr="004D597C">
        <w:t xml:space="preserve"> </w:t>
      </w:r>
    </w:p>
    <w:p w14:paraId="26D2C0E8" w14:textId="6250F0B1" w:rsidR="00C5388D" w:rsidRPr="00132387" w:rsidRDefault="00C5388D" w:rsidP="003F67FE">
      <w:pPr>
        <w:pStyle w:val="ListParagraph"/>
        <w:numPr>
          <w:ilvl w:val="1"/>
          <w:numId w:val="9"/>
        </w:numPr>
        <w:tabs>
          <w:tab w:val="left" w:pos="426"/>
        </w:tabs>
        <w:ind w:left="426" w:hanging="284"/>
      </w:pPr>
      <w:r w:rsidRPr="00132387">
        <w:t xml:space="preserve">Recommend </w:t>
      </w:r>
      <w:r w:rsidRPr="00C05870">
        <w:t xml:space="preserve">to use </w:t>
      </w:r>
      <w:r w:rsidR="0068245D" w:rsidRPr="00C05870">
        <w:t>positive and negative reference chemicals if possible</w:t>
      </w:r>
      <w:r w:rsidR="00587AC5" w:rsidRPr="00C05870">
        <w:t>, especially in the case of testing that is done to support the IATA</w:t>
      </w:r>
      <w:r w:rsidR="0068245D" w:rsidRPr="004D597C">
        <w:t>.</w:t>
      </w:r>
    </w:p>
    <w:p w14:paraId="6B4D8ECC" w14:textId="77777777" w:rsidR="00437810" w:rsidRPr="00C05870" w:rsidRDefault="00437810" w:rsidP="00810973">
      <w:pPr>
        <w:pStyle w:val="ListParagraph"/>
        <w:tabs>
          <w:tab w:val="left" w:pos="142"/>
        </w:tabs>
        <w:ind w:left="426" w:hanging="284"/>
      </w:pPr>
    </w:p>
    <w:p w14:paraId="196C21DF" w14:textId="35A1161A" w:rsidR="00F81C78" w:rsidRPr="004D597C" w:rsidRDefault="00B82F81" w:rsidP="001F1F6C">
      <w:pPr>
        <w:spacing w:after="0"/>
        <w:rPr>
          <w:b/>
        </w:rPr>
      </w:pPr>
      <w:r>
        <w:rPr>
          <w:b/>
          <w:u w:val="single"/>
        </w:rPr>
        <w:t>6</w:t>
      </w:r>
      <w:r w:rsidR="007D2DC9" w:rsidRPr="004D597C">
        <w:rPr>
          <w:b/>
          <w:u w:val="single"/>
        </w:rPr>
        <w:t>.</w:t>
      </w:r>
      <w:r w:rsidR="0024522F" w:rsidRPr="004D597C">
        <w:rPr>
          <w:b/>
          <w:u w:val="single"/>
        </w:rPr>
        <w:t xml:space="preserve"> </w:t>
      </w:r>
      <w:r w:rsidR="007D2DC9" w:rsidRPr="004D597C">
        <w:rPr>
          <w:b/>
          <w:u w:val="single"/>
        </w:rPr>
        <w:t>Application of IATA</w:t>
      </w:r>
    </w:p>
    <w:p w14:paraId="645C21EE" w14:textId="77777777" w:rsidR="00F81C78" w:rsidRPr="004D597C" w:rsidRDefault="00F81C78" w:rsidP="001F1F6C">
      <w:pPr>
        <w:spacing w:after="0"/>
        <w:rPr>
          <w:b/>
        </w:rPr>
      </w:pPr>
    </w:p>
    <w:p w14:paraId="3D8E90F6" w14:textId="77777777" w:rsidR="00D72F46" w:rsidRPr="004D597C" w:rsidRDefault="00F23865" w:rsidP="001F1F6C">
      <w:pPr>
        <w:spacing w:after="0"/>
      </w:pPr>
      <w:r w:rsidRPr="004D597C">
        <w:t>a. Summary of data</w:t>
      </w:r>
    </w:p>
    <w:p w14:paraId="215BFD9E" w14:textId="77777777" w:rsidR="006100B7" w:rsidRPr="009B4A6A" w:rsidRDefault="006100B7" w:rsidP="009D78A4">
      <w:pPr>
        <w:pStyle w:val="ListParagraph"/>
        <w:numPr>
          <w:ilvl w:val="0"/>
          <w:numId w:val="11"/>
        </w:numPr>
        <w:spacing w:after="0" w:line="240" w:lineRule="auto"/>
        <w:ind w:left="426" w:hanging="284"/>
        <w:rPr>
          <w:rFonts w:ascii="Times New Roman" w:hAnsi="Times New Roman" w:cs="Times New Roman"/>
          <w:sz w:val="24"/>
          <w:szCs w:val="24"/>
          <w:lang w:eastAsia="ja-JP"/>
        </w:rPr>
      </w:pPr>
      <w:r w:rsidRPr="009B4A6A">
        <w:t>Provide a summary of data in a suitable format for the purpose of IATA.</w:t>
      </w:r>
      <w:r w:rsidRPr="009B4A6A">
        <w:rPr>
          <w:rFonts w:ascii="Times New Roman" w:hAnsi="Times New Roman" w:cs="Times New Roman"/>
          <w:sz w:val="24"/>
          <w:szCs w:val="24"/>
          <w:lang w:eastAsia="ja-JP"/>
        </w:rPr>
        <w:t xml:space="preserve"> </w:t>
      </w:r>
    </w:p>
    <w:p w14:paraId="611D5E7A" w14:textId="77777777" w:rsidR="0031561E" w:rsidRPr="00B82F81" w:rsidRDefault="0031561E" w:rsidP="00E320A4">
      <w:pPr>
        <w:pStyle w:val="ListParagraph"/>
        <w:numPr>
          <w:ilvl w:val="0"/>
          <w:numId w:val="11"/>
        </w:numPr>
        <w:ind w:left="426" w:hanging="283"/>
      </w:pPr>
      <w:r w:rsidRPr="00B82F81">
        <w:t>Reliability of data should be discussed.</w:t>
      </w:r>
    </w:p>
    <w:p w14:paraId="3EBE647C" w14:textId="66AFBDA3" w:rsidR="0031561E" w:rsidRPr="00B82F81" w:rsidRDefault="0031561E" w:rsidP="0031561E">
      <w:pPr>
        <w:pStyle w:val="ListParagraph"/>
        <w:numPr>
          <w:ilvl w:val="0"/>
          <w:numId w:val="11"/>
        </w:numPr>
        <w:ind w:left="426" w:hanging="284"/>
      </w:pPr>
      <w:r w:rsidRPr="00B82F81">
        <w:t>The applicability domain of each estimation method including QSAR and alternative methods should be discussed</w:t>
      </w:r>
      <w:r w:rsidR="00D6768D">
        <w:t>.</w:t>
      </w:r>
    </w:p>
    <w:p w14:paraId="2921ADAF" w14:textId="77777777" w:rsidR="0031561E" w:rsidRPr="00B82F81" w:rsidRDefault="00DD0ED1" w:rsidP="0031561E">
      <w:pPr>
        <w:pStyle w:val="ListParagraph"/>
        <w:numPr>
          <w:ilvl w:val="0"/>
          <w:numId w:val="11"/>
        </w:numPr>
        <w:spacing w:after="0"/>
        <w:ind w:left="426" w:hanging="284"/>
      </w:pPr>
      <w:r w:rsidRPr="00B82F81">
        <w:rPr>
          <w:rFonts w:eastAsia="MS Mincho"/>
          <w:lang w:eastAsia="ja-JP"/>
        </w:rPr>
        <w:t>Provide analysis of the available information for suitability regarding the defined purpose. If possible, the available key study results</w:t>
      </w:r>
      <w:r w:rsidR="00D420BF" w:rsidRPr="00B82F81">
        <w:rPr>
          <w:rFonts w:eastAsia="MS Mincho"/>
          <w:lang w:eastAsia="ja-JP"/>
        </w:rPr>
        <w:t xml:space="preserve"> should be indicated</w:t>
      </w:r>
      <w:r w:rsidRPr="00B82F81">
        <w:rPr>
          <w:rFonts w:eastAsia="MS Mincho"/>
          <w:lang w:eastAsia="ja-JP"/>
        </w:rPr>
        <w:t>.</w:t>
      </w:r>
      <w:r w:rsidR="005C278B" w:rsidRPr="00B82F81">
        <w:t xml:space="preserve"> </w:t>
      </w:r>
    </w:p>
    <w:p w14:paraId="0C10D4BD" w14:textId="77777777" w:rsidR="0031561E" w:rsidRPr="00B82F81" w:rsidRDefault="0031561E" w:rsidP="0031561E">
      <w:pPr>
        <w:spacing w:after="0"/>
        <w:ind w:left="142"/>
      </w:pPr>
    </w:p>
    <w:p w14:paraId="7CBE190B" w14:textId="77777777" w:rsidR="00DD0ED1" w:rsidRPr="00B82F81" w:rsidRDefault="00F23865" w:rsidP="0031561E">
      <w:pPr>
        <w:spacing w:after="0"/>
      </w:pPr>
      <w:r w:rsidRPr="00B82F81">
        <w:t>b</w:t>
      </w:r>
      <w:r w:rsidR="007F3B6B" w:rsidRPr="00B82F81">
        <w:t xml:space="preserve">. </w:t>
      </w:r>
      <w:r w:rsidR="0031561E" w:rsidRPr="00B82F81">
        <w:t>Application</w:t>
      </w:r>
      <w:r w:rsidR="0053063B" w:rsidRPr="00B82F81">
        <w:t xml:space="preserve"> of IATA</w:t>
      </w:r>
    </w:p>
    <w:p w14:paraId="23D3B8A7" w14:textId="77777777" w:rsidR="00B34CF0" w:rsidRPr="00B82F81" w:rsidRDefault="0053063B" w:rsidP="0031561E">
      <w:pPr>
        <w:pStyle w:val="ListParagraph"/>
        <w:numPr>
          <w:ilvl w:val="0"/>
          <w:numId w:val="11"/>
        </w:numPr>
        <w:spacing w:afterLines="200" w:after="480"/>
        <w:ind w:left="426" w:hanging="284"/>
      </w:pPr>
      <w:r w:rsidRPr="00B82F81">
        <w:t xml:space="preserve">Describe how to </w:t>
      </w:r>
      <w:r w:rsidR="0031561E" w:rsidRPr="00B82F81">
        <w:t>apply IATA</w:t>
      </w:r>
      <w:r w:rsidRPr="00B82F81">
        <w:t xml:space="preserve"> b</w:t>
      </w:r>
      <w:r w:rsidR="00514158" w:rsidRPr="00B82F81">
        <w:t xml:space="preserve">ased on the </w:t>
      </w:r>
      <w:r w:rsidR="005C278B" w:rsidRPr="00B82F81">
        <w:t>hypothesis and the data gathered</w:t>
      </w:r>
      <w:r w:rsidR="001B757B" w:rsidRPr="00B82F81">
        <w:t>.</w:t>
      </w:r>
      <w:r w:rsidRPr="00B82F81">
        <w:t xml:space="preserve"> </w:t>
      </w:r>
    </w:p>
    <w:p w14:paraId="0C5FA9AD" w14:textId="77777777" w:rsidR="0031561E" w:rsidRPr="00B82F81" w:rsidRDefault="0031561E" w:rsidP="0031561E">
      <w:pPr>
        <w:pStyle w:val="ListParagraph"/>
        <w:numPr>
          <w:ilvl w:val="0"/>
          <w:numId w:val="11"/>
        </w:numPr>
        <w:spacing w:afterLines="200" w:after="480"/>
        <w:ind w:left="426" w:hanging="284"/>
      </w:pPr>
      <w:r w:rsidRPr="00B82F81">
        <w:t>Describe the result of IATA.</w:t>
      </w:r>
    </w:p>
    <w:p w14:paraId="4CFCFE81" w14:textId="77777777" w:rsidR="0031561E" w:rsidRPr="00B82F81" w:rsidRDefault="0031561E" w:rsidP="0031561E">
      <w:pPr>
        <w:pStyle w:val="ListParagraph"/>
        <w:numPr>
          <w:ilvl w:val="0"/>
          <w:numId w:val="11"/>
        </w:numPr>
        <w:spacing w:after="0"/>
        <w:ind w:left="426" w:hanging="284"/>
      </w:pPr>
      <w:r w:rsidRPr="00B82F81">
        <w:t>Refine the hypothesis used, if necessary.</w:t>
      </w:r>
    </w:p>
    <w:p w14:paraId="20BC7E98" w14:textId="77777777" w:rsidR="0031561E" w:rsidRPr="00132387" w:rsidRDefault="0031561E" w:rsidP="0031561E">
      <w:pPr>
        <w:pStyle w:val="ListParagraph"/>
        <w:spacing w:afterLines="200" w:after="480"/>
        <w:ind w:left="0"/>
      </w:pPr>
    </w:p>
    <w:p w14:paraId="7A515DFD" w14:textId="77777777" w:rsidR="00C545ED" w:rsidRPr="00C05870" w:rsidRDefault="00810973" w:rsidP="0031561E">
      <w:pPr>
        <w:pStyle w:val="ListParagraph"/>
        <w:spacing w:afterLines="200" w:after="480"/>
        <w:ind w:left="0"/>
      </w:pPr>
      <w:r w:rsidRPr="00C05870">
        <w:t>c</w:t>
      </w:r>
      <w:r w:rsidR="00C545ED" w:rsidRPr="00C05870">
        <w:t>. Uncertainty</w:t>
      </w:r>
    </w:p>
    <w:p w14:paraId="08BD7DF6" w14:textId="246A6DDC" w:rsidR="00CF2045" w:rsidRPr="004D597C" w:rsidRDefault="00C545ED" w:rsidP="00555187">
      <w:pPr>
        <w:pStyle w:val="ListParagraph"/>
        <w:numPr>
          <w:ilvl w:val="0"/>
          <w:numId w:val="11"/>
        </w:numPr>
        <w:tabs>
          <w:tab w:val="left" w:pos="426"/>
        </w:tabs>
        <w:ind w:left="426" w:hanging="284"/>
      </w:pPr>
      <w:r w:rsidRPr="00C05870">
        <w:t xml:space="preserve">Discuss the uncertainty of each </w:t>
      </w:r>
      <w:r w:rsidR="00A51AB3" w:rsidRPr="00C05870">
        <w:t xml:space="preserve">element of </w:t>
      </w:r>
      <w:r w:rsidRPr="004D597C">
        <w:t xml:space="preserve">the </w:t>
      </w:r>
      <w:r w:rsidR="0053326C" w:rsidRPr="004D597C">
        <w:t>IATA</w:t>
      </w:r>
      <w:r w:rsidRPr="004D597C">
        <w:t>.</w:t>
      </w:r>
      <w:r w:rsidR="0024522F" w:rsidRPr="004D597C">
        <w:t xml:space="preserve"> </w:t>
      </w:r>
      <w:r w:rsidR="00FF526D" w:rsidRPr="004D597C">
        <w:t>W</w:t>
      </w:r>
      <w:r w:rsidR="00B41E8B" w:rsidRPr="004D597C">
        <w:t>e recommend to use a</w:t>
      </w:r>
      <w:r w:rsidR="00FF526D" w:rsidRPr="004D597C">
        <w:t xml:space="preserve"> table to describe the uncertainty of each element. The following table provides an example of reporting </w:t>
      </w:r>
      <w:r w:rsidR="00FF526D" w:rsidRPr="004D597C">
        <w:lastRenderedPageBreak/>
        <w:t>uncertai</w:t>
      </w:r>
      <w:r w:rsidR="00FF526D" w:rsidRPr="00722E40">
        <w:t>nty (Please modify as appropriate and also it is recommended to describe what is not addressed.)</w:t>
      </w:r>
      <w:r w:rsidR="00FF526D" w:rsidRPr="009B4A6A">
        <w:t xml:space="preserve"> Also, you can refer the past case studies which the general template was applied. (</w:t>
      </w:r>
      <w:r w:rsidR="00542478" w:rsidRPr="009B4A6A">
        <w:t>Case Study 2017-2 (</w:t>
      </w:r>
      <w:hyperlink r:id="rId59" w:history="1">
        <w:r w:rsidR="00542478" w:rsidRPr="00132387">
          <w:rPr>
            <w:rStyle w:val="Hyperlink"/>
          </w:rPr>
          <w:t>OECD, 2018b</w:t>
        </w:r>
      </w:hyperlink>
      <w:r w:rsidR="00542478" w:rsidRPr="00C05870">
        <w:t xml:space="preserve">); </w:t>
      </w:r>
      <w:r w:rsidR="00FF526D" w:rsidRPr="00C05870">
        <w:t>Case Study 2018</w:t>
      </w:r>
      <w:r w:rsidR="00542478" w:rsidRPr="004D597C">
        <w:t>-2 (</w:t>
      </w:r>
      <w:hyperlink r:id="rId60" w:history="1">
        <w:r w:rsidR="00542478" w:rsidRPr="00132387">
          <w:rPr>
            <w:rStyle w:val="Hyperlink"/>
          </w:rPr>
          <w:t>OECD, 2019b</w:t>
        </w:r>
      </w:hyperlink>
      <w:r w:rsidR="00542478" w:rsidRPr="00C05870">
        <w:t>)</w:t>
      </w:r>
      <w:r w:rsidR="00FF526D" w:rsidRPr="00C05870">
        <w:t>)</w:t>
      </w:r>
      <w:r w:rsidR="00D6768D">
        <w:t xml:space="preserve">. </w:t>
      </w:r>
      <w:r w:rsidRPr="004D597C">
        <w:t>Aspects can include uncertainty and confidence associated with the data and assumptions</w:t>
      </w:r>
      <w:r w:rsidR="00344C11" w:rsidRPr="004D597C">
        <w:t xml:space="preserve"> used</w:t>
      </w:r>
      <w:r w:rsidR="004E302C" w:rsidRPr="004D597C">
        <w:t xml:space="preserve"> to develop hypothesis</w:t>
      </w:r>
      <w:r w:rsidRPr="004D597C">
        <w:t>.</w:t>
      </w:r>
    </w:p>
    <w:p w14:paraId="6895EE3A" w14:textId="23FDF06A" w:rsidR="007169BC" w:rsidRPr="004D597C" w:rsidRDefault="00A51AB3" w:rsidP="00471B6A">
      <w:pPr>
        <w:pStyle w:val="ListParagraph"/>
        <w:numPr>
          <w:ilvl w:val="0"/>
          <w:numId w:val="11"/>
        </w:numPr>
        <w:tabs>
          <w:tab w:val="left" w:pos="426"/>
        </w:tabs>
        <w:ind w:left="426" w:hanging="284"/>
      </w:pPr>
      <w:r w:rsidRPr="004D597C">
        <w:rPr>
          <w:b/>
          <w:u w:val="single"/>
        </w:rPr>
        <w:t>The magnitude and impact of the sources of uncertainty should be considered</w:t>
      </w:r>
      <w:r w:rsidRPr="004D597C">
        <w:t xml:space="preserve"> and </w:t>
      </w:r>
      <w:r w:rsidR="00CF2045" w:rsidRPr="004D597C">
        <w:t xml:space="preserve">to the extent possible, </w:t>
      </w:r>
      <w:r w:rsidR="00CF2045" w:rsidRPr="004D597C">
        <w:rPr>
          <w:b/>
          <w:u w:val="single"/>
        </w:rPr>
        <w:t>how the individual sources of uncertainty affect the overall uncertainty in the final outcome of the IATA</w:t>
      </w:r>
      <w:r w:rsidR="00CF2045" w:rsidRPr="009B4A6A">
        <w:t>.</w:t>
      </w:r>
      <w:r w:rsidR="006A6BD1" w:rsidRPr="009B4A6A">
        <w:t xml:space="preserve"> </w:t>
      </w:r>
      <w:r w:rsidR="007169BC" w:rsidRPr="009B4A6A">
        <w:t>OECD</w:t>
      </w:r>
      <w:r w:rsidR="006A6BD1" w:rsidRPr="004860C4">
        <w:t xml:space="preserve"> guidance documents on defined approaches of IATA (</w:t>
      </w:r>
      <w:r w:rsidR="00A35ED9" w:rsidRPr="004860C4">
        <w:t>“</w:t>
      </w:r>
      <w:r w:rsidR="00A35ED9" w:rsidRPr="004860C4">
        <w:rPr>
          <w:i/>
        </w:rPr>
        <w:t xml:space="preserve"> Consideration of uncertainties associated with the application of the defined approach</w:t>
      </w:r>
      <w:r w:rsidR="00A35ED9" w:rsidRPr="004860C4">
        <w:t>”</w:t>
      </w:r>
      <w:r w:rsidR="00E8609A" w:rsidRPr="004860C4">
        <w:t>,</w:t>
      </w:r>
      <w:r w:rsidR="00A35ED9" w:rsidRPr="004860C4">
        <w:t xml:space="preserve">  </w:t>
      </w:r>
      <w:hyperlink r:id="rId61" w:history="1">
        <w:r w:rsidR="006A6BD1" w:rsidRPr="00C05870">
          <w:rPr>
            <w:rStyle w:val="Hyperlink"/>
          </w:rPr>
          <w:t>OECD, 2016</w:t>
        </w:r>
        <w:r w:rsidR="004860C4">
          <w:rPr>
            <w:rStyle w:val="Hyperlink"/>
          </w:rPr>
          <w:t>c</w:t>
        </w:r>
      </w:hyperlink>
      <w:r w:rsidR="006A6BD1" w:rsidRPr="00C05870">
        <w:t>;</w:t>
      </w:r>
      <w:r w:rsidR="00A35ED9" w:rsidRPr="00C05870">
        <w:t xml:space="preserve"> “</w:t>
      </w:r>
      <w:r w:rsidR="00A35ED9" w:rsidRPr="004D597C">
        <w:t xml:space="preserve"> Consideration of uncertainties associated with the application of the defined approach”</w:t>
      </w:r>
      <w:r w:rsidR="00E8609A" w:rsidRPr="004D597C">
        <w:t>,</w:t>
      </w:r>
      <w:r w:rsidR="00A35ED9" w:rsidRPr="004D597C">
        <w:t xml:space="preserve"> </w:t>
      </w:r>
      <w:r w:rsidR="00335A8B" w:rsidRPr="004D597C">
        <w:t>CASE STUDY I-XII of</w:t>
      </w:r>
      <w:r w:rsidR="006A6BD1" w:rsidRPr="004D597C">
        <w:t xml:space="preserve"> </w:t>
      </w:r>
      <w:hyperlink r:id="rId62" w:history="1">
        <w:r w:rsidR="00335A8B" w:rsidRPr="00C05870">
          <w:rPr>
            <w:rStyle w:val="Hyperlink"/>
          </w:rPr>
          <w:t xml:space="preserve">OECD, </w:t>
        </w:r>
        <w:r w:rsidR="006A6BD1" w:rsidRPr="00C05870">
          <w:rPr>
            <w:rStyle w:val="Hyperlink"/>
          </w:rPr>
          <w:t>2016</w:t>
        </w:r>
        <w:r w:rsidR="004860C4">
          <w:rPr>
            <w:rStyle w:val="Hyperlink"/>
          </w:rPr>
          <w:t>d</w:t>
        </w:r>
      </w:hyperlink>
      <w:r w:rsidR="006A6BD1" w:rsidRPr="00C05870">
        <w:t>) might be helpful for considering uncertainties related to non-guideline test methods</w:t>
      </w:r>
      <w:r w:rsidR="00D6768D">
        <w:t>.</w:t>
      </w:r>
      <w:r w:rsidR="00187EB1" w:rsidRPr="004D597C">
        <w:t xml:space="preserve"> T</w:t>
      </w:r>
      <w:r w:rsidRPr="004D597C">
        <w:t xml:space="preserve">he </w:t>
      </w:r>
      <w:r w:rsidR="00187EB1" w:rsidRPr="004D597C">
        <w:t xml:space="preserve">uncertainty </w:t>
      </w:r>
      <w:r w:rsidRPr="004D597C">
        <w:t xml:space="preserve">approaches outlined in the </w:t>
      </w:r>
      <w:r w:rsidR="00D2174D" w:rsidRPr="009B4A6A">
        <w:t>template for IATA case studies on Read-Across</w:t>
      </w:r>
      <w:r w:rsidR="00187EB1" w:rsidRPr="00C05870">
        <w:t xml:space="preserve"> would be helpful for performing the </w:t>
      </w:r>
      <w:r w:rsidR="00B41E8B" w:rsidRPr="00C05870">
        <w:t>uncertainty analysis</w:t>
      </w:r>
      <w:r w:rsidR="00187EB1" w:rsidRPr="004D597C">
        <w:t>.</w:t>
      </w:r>
    </w:p>
    <w:p w14:paraId="2C7C4FDD" w14:textId="45569E4E" w:rsidR="00D9034E" w:rsidRPr="009B4A6A" w:rsidRDefault="00D9034E" w:rsidP="00E731D6">
      <w:pPr>
        <w:pStyle w:val="ListParagraph"/>
        <w:numPr>
          <w:ilvl w:val="0"/>
          <w:numId w:val="11"/>
        </w:numPr>
        <w:tabs>
          <w:tab w:val="left" w:pos="426"/>
        </w:tabs>
        <w:ind w:left="426"/>
      </w:pPr>
      <w:r w:rsidRPr="004D597C">
        <w:t>If AOP is used, please discuss uncertainty on AOP (e.g.</w:t>
      </w:r>
      <w:r w:rsidR="00EA0089" w:rsidRPr="00C05870">
        <w:t xml:space="preserve"> endorsed AOP:</w:t>
      </w:r>
      <w:r w:rsidR="00EA0089" w:rsidRPr="004D597C">
        <w:t xml:space="preserve"> the AOP approved and published by OECD vs putative AOP; the AOP not approved by OECD and</w:t>
      </w:r>
      <w:r w:rsidR="003A6EDF" w:rsidRPr="004D597C">
        <w:t xml:space="preserve"> established based on </w:t>
      </w:r>
      <w:r w:rsidR="003A6EDF" w:rsidRPr="009B4A6A">
        <w:t>the known knowledge.</w:t>
      </w:r>
      <w:r w:rsidRPr="009B4A6A">
        <w:t>)</w:t>
      </w:r>
    </w:p>
    <w:p w14:paraId="06B02A19" w14:textId="5E2E21C1" w:rsidR="00E731D6" w:rsidRPr="004D597C" w:rsidRDefault="00E731D6" w:rsidP="00E731D6">
      <w:pPr>
        <w:pStyle w:val="ListParagraph"/>
        <w:numPr>
          <w:ilvl w:val="0"/>
          <w:numId w:val="11"/>
        </w:numPr>
        <w:tabs>
          <w:tab w:val="left" w:pos="426"/>
        </w:tabs>
        <w:ind w:left="426"/>
      </w:pPr>
      <w:r w:rsidRPr="004860C4">
        <w:t xml:space="preserve">For the application of WoE approach, the </w:t>
      </w:r>
      <w:hyperlink r:id="rId63" w:history="1">
        <w:r w:rsidRPr="00132387">
          <w:rPr>
            <w:rStyle w:val="Hyperlink"/>
          </w:rPr>
          <w:t>ECHA WoE template</w:t>
        </w:r>
      </w:hyperlink>
      <w:r w:rsidRPr="00C05870">
        <w:rPr>
          <w:rStyle w:val="FootnoteReference"/>
        </w:rPr>
        <w:footnoteReference w:id="10"/>
      </w:r>
      <w:r w:rsidRPr="00C05870">
        <w:t xml:space="preserve"> provides a structured template for presenting the WoE approach/ uncertainty</w:t>
      </w:r>
      <w:r w:rsidR="000850D6" w:rsidRPr="00C05870">
        <w:t xml:space="preserve"> (EU-ToxRisk, 2018)</w:t>
      </w:r>
      <w:r w:rsidRPr="004D597C">
        <w:t>.</w:t>
      </w:r>
    </w:p>
    <w:p w14:paraId="3D02DB8A" w14:textId="5D01A45F" w:rsidR="00E731D6" w:rsidRPr="004D597C" w:rsidRDefault="00E731D6" w:rsidP="00E731D6">
      <w:pPr>
        <w:pStyle w:val="ListParagraph"/>
        <w:numPr>
          <w:ilvl w:val="0"/>
          <w:numId w:val="11"/>
        </w:numPr>
        <w:tabs>
          <w:tab w:val="left" w:pos="426"/>
        </w:tabs>
        <w:ind w:left="426"/>
      </w:pPr>
      <w:r w:rsidRPr="004D597C">
        <w:t>The EFSA guidance documents</w:t>
      </w:r>
      <w:r w:rsidR="00115B3C" w:rsidRPr="004D597C">
        <w:t xml:space="preserve"> (</w:t>
      </w:r>
      <w:hyperlink r:id="rId64" w:history="1">
        <w:r w:rsidR="00115B3C" w:rsidRPr="00132387">
          <w:rPr>
            <w:rStyle w:val="Hyperlink"/>
          </w:rPr>
          <w:t>EFSA, 2018a</w:t>
        </w:r>
      </w:hyperlink>
      <w:r w:rsidR="00115B3C" w:rsidRPr="00C05870">
        <w:t xml:space="preserve">; </w:t>
      </w:r>
      <w:hyperlink r:id="rId65" w:history="1">
        <w:r w:rsidR="00115B3C" w:rsidRPr="00132387">
          <w:rPr>
            <w:rStyle w:val="Hyperlink"/>
          </w:rPr>
          <w:t>2018b</w:t>
        </w:r>
      </w:hyperlink>
      <w:r w:rsidR="00115B3C" w:rsidRPr="00C05870">
        <w:t>)</w:t>
      </w:r>
      <w:r w:rsidRPr="00C05870">
        <w:t xml:space="preserve"> </w:t>
      </w:r>
      <w:r w:rsidR="000850D6" w:rsidRPr="00C05870">
        <w:t>could be considered for u</w:t>
      </w:r>
      <w:r w:rsidR="000850D6" w:rsidRPr="004D597C">
        <w:t xml:space="preserve">ncertainty assessment as a </w:t>
      </w:r>
      <w:r w:rsidR="00166B2D" w:rsidRPr="004D597C">
        <w:t xml:space="preserve">good </w:t>
      </w:r>
      <w:r w:rsidR="000850D6" w:rsidRPr="004D597C">
        <w:t>start point</w:t>
      </w:r>
      <w:r w:rsidRPr="004D597C">
        <w:t>. In addition, for quantitative hazard assessments, the WHO Guidance on Evaluating and Expressing Uncertainty in Hazard Assessment</w:t>
      </w:r>
      <w:r w:rsidR="00B52677" w:rsidRPr="004D597C">
        <w:t xml:space="preserve"> (</w:t>
      </w:r>
      <w:hyperlink r:id="rId66" w:history="1">
        <w:r w:rsidR="00B52677" w:rsidRPr="00132387">
          <w:rPr>
            <w:rStyle w:val="Hyperlink"/>
          </w:rPr>
          <w:t>WHO, 2018</w:t>
        </w:r>
      </w:hyperlink>
      <w:r w:rsidR="00B52677" w:rsidRPr="00C05870">
        <w:t>)</w:t>
      </w:r>
      <w:r w:rsidRPr="00C05870">
        <w:t xml:space="preserve"> can provide further support</w:t>
      </w:r>
      <w:r w:rsidR="000850D6" w:rsidRPr="004D597C">
        <w:t xml:space="preserve"> (EU-ToxRisk 2018)</w:t>
      </w:r>
      <w:r w:rsidRPr="004D597C">
        <w:t>.</w:t>
      </w:r>
    </w:p>
    <w:p w14:paraId="65940E91" w14:textId="4F6AEB93" w:rsidR="00FC3B2F" w:rsidRPr="004D597C" w:rsidRDefault="007932B5" w:rsidP="00D9034E">
      <w:pPr>
        <w:pStyle w:val="ListParagraph"/>
        <w:numPr>
          <w:ilvl w:val="0"/>
          <w:numId w:val="11"/>
        </w:numPr>
        <w:tabs>
          <w:tab w:val="left" w:pos="426"/>
        </w:tabs>
        <w:ind w:left="426"/>
      </w:pPr>
      <w:r w:rsidRPr="004D597C">
        <w:t>In application of WoE, please refer to the OECD WoE guidance document</w:t>
      </w:r>
      <w:r w:rsidR="00B52677" w:rsidRPr="004D597C">
        <w:t xml:space="preserve"> (</w:t>
      </w:r>
      <w:hyperlink r:id="rId67" w:history="1">
        <w:r w:rsidR="00B52677" w:rsidRPr="00C05870">
          <w:rPr>
            <w:rStyle w:val="Hyperlink"/>
          </w:rPr>
          <w:t>OECD, 2019</w:t>
        </w:r>
        <w:r w:rsidR="00C0633D" w:rsidRPr="00C05870">
          <w:rPr>
            <w:rStyle w:val="Hyperlink"/>
          </w:rPr>
          <w:t>c</w:t>
        </w:r>
      </w:hyperlink>
      <w:r w:rsidR="00B52677" w:rsidRPr="00C05870">
        <w:t>)</w:t>
      </w:r>
      <w:r w:rsidRPr="00C05870">
        <w:t>, which provides universal Guiding Principles that should be considered when developing or augmenting systematic approaches to WoE for chemical evaluation and Key Elements to formulating a systema</w:t>
      </w:r>
      <w:r w:rsidRPr="004D597C">
        <w:t>tic approach to WoE</w:t>
      </w:r>
      <w:r w:rsidR="00D6768D">
        <w:t>.</w:t>
      </w:r>
    </w:p>
    <w:tbl>
      <w:tblPr>
        <w:tblW w:w="9016" w:type="dxa"/>
        <w:jc w:val="center"/>
        <w:tblLook w:val="04A0" w:firstRow="1" w:lastRow="0" w:firstColumn="1" w:lastColumn="0" w:noHBand="0" w:noVBand="1"/>
      </w:tblPr>
      <w:tblGrid>
        <w:gridCol w:w="3102"/>
        <w:gridCol w:w="2023"/>
        <w:gridCol w:w="1888"/>
        <w:gridCol w:w="2003"/>
      </w:tblGrid>
      <w:tr w:rsidR="00567FB2" w:rsidRPr="00B82F81" w14:paraId="2464F025" w14:textId="77777777" w:rsidTr="00EA2259">
        <w:trPr>
          <w:trHeight w:val="702"/>
          <w:jc w:val="center"/>
        </w:trPr>
        <w:tc>
          <w:tcPr>
            <w:tcW w:w="3102"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15D7C32B" w14:textId="77777777" w:rsidR="00567FB2" w:rsidRPr="004D597C" w:rsidRDefault="00567FB2" w:rsidP="00EA2259">
            <w:pPr>
              <w:spacing w:after="0" w:line="240" w:lineRule="auto"/>
              <w:jc w:val="center"/>
              <w:rPr>
                <w:rFonts w:ascii="Arial" w:eastAsia="Times New Roman" w:hAnsi="Arial" w:cs="Arial"/>
                <w:sz w:val="18"/>
                <w:szCs w:val="18"/>
                <w:lang w:eastAsia="ja-JP"/>
              </w:rPr>
            </w:pPr>
            <w:r w:rsidRPr="004D597C">
              <w:rPr>
                <w:rFonts w:ascii="Arial" w:eastAsia="Times New Roman" w:hAnsi="Arial" w:cs="Arial"/>
                <w:sz w:val="18"/>
                <w:szCs w:val="18"/>
                <w:lang w:eastAsia="ja-JP"/>
              </w:rPr>
              <w:t>Factor</w:t>
            </w:r>
          </w:p>
        </w:tc>
        <w:tc>
          <w:tcPr>
            <w:tcW w:w="2023" w:type="dxa"/>
            <w:tcBorders>
              <w:top w:val="single" w:sz="4" w:space="0" w:color="auto"/>
              <w:left w:val="nil"/>
              <w:bottom w:val="double" w:sz="6" w:space="0" w:color="auto"/>
              <w:right w:val="single" w:sz="4" w:space="0" w:color="auto"/>
            </w:tcBorders>
            <w:shd w:val="clear" w:color="auto" w:fill="auto"/>
            <w:vAlign w:val="center"/>
            <w:hideMark/>
          </w:tcPr>
          <w:p w14:paraId="11670DDC" w14:textId="77777777" w:rsidR="00567FB2" w:rsidRPr="009B4A6A" w:rsidRDefault="00567FB2" w:rsidP="00EA2259">
            <w:pPr>
              <w:spacing w:after="0" w:line="240" w:lineRule="auto"/>
              <w:rPr>
                <w:rFonts w:ascii="Times New Roman" w:hAnsi="Times New Roman" w:cs="Times New Roman"/>
                <w:sz w:val="24"/>
                <w:szCs w:val="24"/>
                <w:lang w:eastAsia="ja-JP"/>
              </w:rPr>
            </w:pPr>
            <w:r w:rsidRPr="004D597C">
              <w:rPr>
                <w:rFonts w:ascii="Arial" w:eastAsia="Times New Roman" w:hAnsi="Arial" w:cs="Arial"/>
                <w:sz w:val="18"/>
                <w:szCs w:val="18"/>
                <w:lang w:eastAsia="ja-JP"/>
              </w:rPr>
              <w:t>Uncertainty</w:t>
            </w:r>
            <w:r w:rsidRPr="004D597C">
              <w:rPr>
                <w:rFonts w:ascii="Times New Roman" w:hAnsi="Times New Roman" w:cs="Times New Roman"/>
                <w:sz w:val="24"/>
                <w:szCs w:val="24"/>
                <w:lang w:eastAsia="ja-JP"/>
              </w:rPr>
              <w:t xml:space="preserve"> </w:t>
            </w:r>
            <w:r w:rsidRPr="004D597C">
              <w:rPr>
                <w:rFonts w:ascii="Arial" w:eastAsia="Times New Roman" w:hAnsi="Arial" w:cs="Arial"/>
                <w:sz w:val="18"/>
                <w:szCs w:val="18"/>
                <w:lang w:eastAsia="ja-JP"/>
              </w:rPr>
              <w:br/>
              <w:t>(low, medium, high)</w:t>
            </w:r>
          </w:p>
        </w:tc>
        <w:tc>
          <w:tcPr>
            <w:tcW w:w="1888" w:type="dxa"/>
            <w:tcBorders>
              <w:top w:val="single" w:sz="4" w:space="0" w:color="auto"/>
              <w:left w:val="nil"/>
              <w:bottom w:val="double" w:sz="6" w:space="0" w:color="auto"/>
              <w:right w:val="single" w:sz="4" w:space="0" w:color="auto"/>
            </w:tcBorders>
            <w:vAlign w:val="center"/>
          </w:tcPr>
          <w:p w14:paraId="398B5E1B" w14:textId="77777777" w:rsidR="00567FB2" w:rsidRPr="00B82F81" w:rsidRDefault="00567FB2" w:rsidP="00EA2259">
            <w:pPr>
              <w:spacing w:after="0" w:line="240" w:lineRule="auto"/>
              <w:rPr>
                <w:rFonts w:ascii="Arial" w:eastAsia="Times New Roman" w:hAnsi="Arial" w:cs="Arial"/>
                <w:sz w:val="18"/>
                <w:szCs w:val="18"/>
                <w:lang w:eastAsia="ja-JP"/>
              </w:rPr>
            </w:pPr>
            <w:r w:rsidRPr="00B82F81">
              <w:rPr>
                <w:rFonts w:ascii="Arial" w:eastAsia="Times New Roman" w:hAnsi="Arial" w:cs="Arial"/>
                <w:sz w:val="18"/>
                <w:szCs w:val="18"/>
                <w:lang w:eastAsia="ja-JP"/>
              </w:rPr>
              <w:t>Impact of uncertainty on hypothesis</w:t>
            </w:r>
          </w:p>
        </w:tc>
        <w:tc>
          <w:tcPr>
            <w:tcW w:w="2003"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32A5F997" w14:textId="77777777" w:rsidR="00567FB2" w:rsidRPr="00B82F81" w:rsidRDefault="00567FB2" w:rsidP="00EA2259">
            <w:pPr>
              <w:spacing w:after="0" w:line="240" w:lineRule="auto"/>
              <w:jc w:val="center"/>
              <w:rPr>
                <w:rFonts w:ascii="Arial" w:eastAsia="Times New Roman" w:hAnsi="Arial" w:cs="Arial"/>
                <w:sz w:val="18"/>
                <w:szCs w:val="18"/>
                <w:lang w:eastAsia="ja-JP"/>
              </w:rPr>
            </w:pPr>
            <w:r w:rsidRPr="00B82F81">
              <w:rPr>
                <w:rFonts w:ascii="Arial" w:eastAsia="Times New Roman" w:hAnsi="Arial" w:cs="Arial"/>
                <w:sz w:val="18"/>
                <w:szCs w:val="18"/>
                <w:lang w:eastAsia="ja-JP"/>
              </w:rPr>
              <w:t>Comment</w:t>
            </w:r>
          </w:p>
        </w:tc>
      </w:tr>
      <w:tr w:rsidR="00567FB2" w:rsidRPr="00B82F81" w14:paraId="7E36263B" w14:textId="77777777" w:rsidTr="00EA2259">
        <w:trPr>
          <w:trHeight w:val="642"/>
          <w:jc w:val="center"/>
        </w:trPr>
        <w:tc>
          <w:tcPr>
            <w:tcW w:w="3102" w:type="dxa"/>
            <w:tcBorders>
              <w:top w:val="nil"/>
              <w:left w:val="single" w:sz="4" w:space="0" w:color="auto"/>
              <w:bottom w:val="single" w:sz="4" w:space="0" w:color="auto"/>
              <w:right w:val="single" w:sz="4" w:space="0" w:color="auto"/>
            </w:tcBorders>
            <w:shd w:val="clear" w:color="auto" w:fill="auto"/>
            <w:vAlign w:val="center"/>
            <w:hideMark/>
          </w:tcPr>
          <w:p w14:paraId="4F5D908F" w14:textId="77777777" w:rsidR="00567FB2" w:rsidRPr="00B82F81" w:rsidRDefault="00567FB2" w:rsidP="00EA2259">
            <w:pPr>
              <w:spacing w:after="0" w:line="240" w:lineRule="auto"/>
              <w:rPr>
                <w:rFonts w:ascii="Arial" w:eastAsia="Times New Roman" w:hAnsi="Arial" w:cs="Arial"/>
                <w:sz w:val="18"/>
                <w:szCs w:val="18"/>
                <w:lang w:eastAsia="ja-JP"/>
              </w:rPr>
            </w:pPr>
            <w:r w:rsidRPr="00B82F81">
              <w:rPr>
                <w:rFonts w:ascii="Arial" w:eastAsia="Times New Roman" w:hAnsi="Arial" w:cs="Arial"/>
                <w:sz w:val="18"/>
                <w:szCs w:val="18"/>
                <w:lang w:eastAsia="ja-JP"/>
              </w:rPr>
              <w:t>Hypothesis</w:t>
            </w:r>
          </w:p>
        </w:tc>
        <w:tc>
          <w:tcPr>
            <w:tcW w:w="2023" w:type="dxa"/>
            <w:tcBorders>
              <w:top w:val="nil"/>
              <w:left w:val="nil"/>
              <w:bottom w:val="single" w:sz="4" w:space="0" w:color="auto"/>
              <w:right w:val="single" w:sz="4" w:space="0" w:color="auto"/>
            </w:tcBorders>
            <w:shd w:val="clear" w:color="auto" w:fill="auto"/>
            <w:vAlign w:val="center"/>
            <w:hideMark/>
          </w:tcPr>
          <w:p w14:paraId="537FA4FA" w14:textId="77777777" w:rsidR="00567FB2" w:rsidRPr="00B82F81" w:rsidRDefault="00567FB2" w:rsidP="00EA2259">
            <w:pPr>
              <w:spacing w:after="0" w:line="240" w:lineRule="auto"/>
              <w:rPr>
                <w:rFonts w:ascii="Arial" w:eastAsia="Times New Roman" w:hAnsi="Arial" w:cs="Arial"/>
                <w:sz w:val="18"/>
                <w:szCs w:val="18"/>
                <w:lang w:eastAsia="ja-JP"/>
              </w:rPr>
            </w:pPr>
          </w:p>
        </w:tc>
        <w:tc>
          <w:tcPr>
            <w:tcW w:w="1888" w:type="dxa"/>
            <w:tcBorders>
              <w:top w:val="nil"/>
              <w:left w:val="nil"/>
              <w:bottom w:val="single" w:sz="4" w:space="0" w:color="auto"/>
              <w:right w:val="single" w:sz="4" w:space="0" w:color="auto"/>
            </w:tcBorders>
          </w:tcPr>
          <w:p w14:paraId="62E8DB4B" w14:textId="77777777" w:rsidR="00567FB2" w:rsidRPr="00B82F81" w:rsidRDefault="00567FB2" w:rsidP="00EA2259">
            <w:pPr>
              <w:spacing w:after="0" w:line="240" w:lineRule="auto"/>
              <w:rPr>
                <w:rFonts w:ascii="Arial" w:eastAsia="Times New Roman" w:hAnsi="Arial" w:cs="Arial"/>
                <w:sz w:val="18"/>
                <w:szCs w:val="18"/>
                <w:lang w:eastAsia="ja-JP"/>
              </w:rPr>
            </w:pPr>
          </w:p>
        </w:tc>
        <w:tc>
          <w:tcPr>
            <w:tcW w:w="2003" w:type="dxa"/>
            <w:tcBorders>
              <w:top w:val="nil"/>
              <w:left w:val="single" w:sz="4" w:space="0" w:color="auto"/>
              <w:bottom w:val="single" w:sz="4" w:space="0" w:color="auto"/>
              <w:right w:val="single" w:sz="4" w:space="0" w:color="auto"/>
            </w:tcBorders>
            <w:shd w:val="clear" w:color="auto" w:fill="auto"/>
            <w:vAlign w:val="center"/>
            <w:hideMark/>
          </w:tcPr>
          <w:p w14:paraId="1A31A93C" w14:textId="77777777" w:rsidR="00567FB2" w:rsidRPr="00B82F81" w:rsidRDefault="00567FB2" w:rsidP="00EA2259">
            <w:pPr>
              <w:spacing w:after="0" w:line="240" w:lineRule="auto"/>
              <w:rPr>
                <w:rFonts w:ascii="Arial" w:eastAsia="Times New Roman" w:hAnsi="Arial" w:cs="Arial"/>
                <w:sz w:val="18"/>
                <w:szCs w:val="18"/>
                <w:lang w:eastAsia="ja-JP"/>
              </w:rPr>
            </w:pPr>
          </w:p>
        </w:tc>
      </w:tr>
      <w:tr w:rsidR="00567FB2" w:rsidRPr="00B82F81" w14:paraId="06066121" w14:textId="77777777" w:rsidTr="00EA2259">
        <w:trPr>
          <w:trHeight w:val="642"/>
          <w:jc w:val="center"/>
        </w:trPr>
        <w:tc>
          <w:tcPr>
            <w:tcW w:w="3102" w:type="dxa"/>
            <w:tcBorders>
              <w:top w:val="nil"/>
              <w:left w:val="single" w:sz="4" w:space="0" w:color="auto"/>
              <w:bottom w:val="single" w:sz="4" w:space="0" w:color="auto"/>
              <w:right w:val="single" w:sz="4" w:space="0" w:color="auto"/>
            </w:tcBorders>
            <w:shd w:val="clear" w:color="auto" w:fill="auto"/>
            <w:vAlign w:val="center"/>
            <w:hideMark/>
          </w:tcPr>
          <w:p w14:paraId="7E65918D" w14:textId="77777777" w:rsidR="00567FB2" w:rsidRPr="00B82F81" w:rsidRDefault="00567FB2" w:rsidP="00EA2259">
            <w:pPr>
              <w:spacing w:after="0" w:line="240" w:lineRule="auto"/>
              <w:rPr>
                <w:rFonts w:ascii="Arial" w:eastAsia="Times New Roman" w:hAnsi="Arial" w:cs="Arial"/>
                <w:sz w:val="18"/>
                <w:szCs w:val="18"/>
                <w:lang w:eastAsia="ja-JP"/>
              </w:rPr>
            </w:pPr>
            <w:r w:rsidRPr="00B82F81">
              <w:rPr>
                <w:rFonts w:ascii="Arial" w:eastAsia="Times New Roman" w:hAnsi="Arial" w:cs="Arial"/>
                <w:sz w:val="18"/>
                <w:szCs w:val="18"/>
                <w:lang w:eastAsia="ja-JP"/>
              </w:rPr>
              <w:t>Used Approach (e.g. AOP/MOA, Defined Approach, workflow, read-across etc.)</w:t>
            </w:r>
          </w:p>
        </w:tc>
        <w:tc>
          <w:tcPr>
            <w:tcW w:w="2023" w:type="dxa"/>
            <w:tcBorders>
              <w:top w:val="nil"/>
              <w:left w:val="nil"/>
              <w:bottom w:val="single" w:sz="4" w:space="0" w:color="auto"/>
              <w:right w:val="single" w:sz="4" w:space="0" w:color="auto"/>
            </w:tcBorders>
            <w:shd w:val="clear" w:color="auto" w:fill="auto"/>
            <w:vAlign w:val="center"/>
          </w:tcPr>
          <w:p w14:paraId="198DD2A0" w14:textId="77777777" w:rsidR="00567FB2" w:rsidRPr="00B82F81" w:rsidRDefault="00567FB2" w:rsidP="00EA2259">
            <w:pPr>
              <w:spacing w:after="0" w:line="240" w:lineRule="auto"/>
              <w:rPr>
                <w:rFonts w:ascii="Arial" w:eastAsia="Times New Roman" w:hAnsi="Arial" w:cs="Arial"/>
                <w:sz w:val="18"/>
                <w:szCs w:val="18"/>
                <w:lang w:eastAsia="ja-JP"/>
              </w:rPr>
            </w:pPr>
          </w:p>
        </w:tc>
        <w:tc>
          <w:tcPr>
            <w:tcW w:w="1888" w:type="dxa"/>
            <w:tcBorders>
              <w:top w:val="nil"/>
              <w:left w:val="nil"/>
              <w:bottom w:val="single" w:sz="4" w:space="0" w:color="auto"/>
              <w:right w:val="single" w:sz="4" w:space="0" w:color="auto"/>
            </w:tcBorders>
          </w:tcPr>
          <w:p w14:paraId="70D5F619" w14:textId="77777777" w:rsidR="00567FB2" w:rsidRPr="00B82F81" w:rsidRDefault="00567FB2" w:rsidP="00EA2259">
            <w:pPr>
              <w:spacing w:after="0" w:line="240" w:lineRule="auto"/>
              <w:rPr>
                <w:rFonts w:ascii="Arial" w:eastAsia="Times New Roman" w:hAnsi="Arial" w:cs="Arial"/>
                <w:sz w:val="18"/>
                <w:szCs w:val="18"/>
                <w:lang w:eastAsia="ja-JP"/>
              </w:rPr>
            </w:pPr>
          </w:p>
        </w:tc>
        <w:tc>
          <w:tcPr>
            <w:tcW w:w="2003" w:type="dxa"/>
            <w:tcBorders>
              <w:top w:val="nil"/>
              <w:left w:val="single" w:sz="4" w:space="0" w:color="auto"/>
              <w:bottom w:val="single" w:sz="4" w:space="0" w:color="auto"/>
              <w:right w:val="single" w:sz="4" w:space="0" w:color="auto"/>
            </w:tcBorders>
            <w:shd w:val="clear" w:color="auto" w:fill="auto"/>
            <w:vAlign w:val="center"/>
          </w:tcPr>
          <w:p w14:paraId="5B4F2334" w14:textId="77777777" w:rsidR="00567FB2" w:rsidRPr="00B82F81" w:rsidRDefault="00567FB2" w:rsidP="00EA2259">
            <w:pPr>
              <w:spacing w:after="0" w:line="240" w:lineRule="auto"/>
              <w:rPr>
                <w:rFonts w:ascii="Arial" w:eastAsia="Times New Roman" w:hAnsi="Arial" w:cs="Arial"/>
                <w:sz w:val="18"/>
                <w:szCs w:val="18"/>
                <w:lang w:eastAsia="ja-JP"/>
              </w:rPr>
            </w:pPr>
          </w:p>
        </w:tc>
      </w:tr>
      <w:tr w:rsidR="00567FB2" w:rsidRPr="00B82F81" w14:paraId="4D790664" w14:textId="77777777" w:rsidTr="00EA2259">
        <w:trPr>
          <w:trHeight w:val="642"/>
          <w:jc w:val="center"/>
        </w:trPr>
        <w:tc>
          <w:tcPr>
            <w:tcW w:w="3102" w:type="dxa"/>
            <w:tcBorders>
              <w:top w:val="nil"/>
              <w:left w:val="single" w:sz="4" w:space="0" w:color="auto"/>
              <w:bottom w:val="single" w:sz="4" w:space="0" w:color="auto"/>
              <w:right w:val="single" w:sz="4" w:space="0" w:color="auto"/>
            </w:tcBorders>
            <w:shd w:val="clear" w:color="auto" w:fill="auto"/>
            <w:vAlign w:val="center"/>
            <w:hideMark/>
          </w:tcPr>
          <w:p w14:paraId="3DC8DD4B" w14:textId="42C49B72" w:rsidR="00567FB2" w:rsidRPr="00C05870" w:rsidRDefault="00567FB2" w:rsidP="00EA2259">
            <w:pPr>
              <w:spacing w:after="0" w:line="240" w:lineRule="auto"/>
              <w:rPr>
                <w:rFonts w:ascii="Arial" w:eastAsia="Times New Roman" w:hAnsi="Arial" w:cs="Arial"/>
                <w:sz w:val="18"/>
                <w:szCs w:val="18"/>
                <w:lang w:eastAsia="ja-JP"/>
              </w:rPr>
            </w:pPr>
            <w:r w:rsidRPr="00B82F81">
              <w:rPr>
                <w:rFonts w:ascii="Arial" w:eastAsia="Times New Roman" w:hAnsi="Arial" w:cs="Arial"/>
                <w:sz w:val="18"/>
                <w:szCs w:val="18"/>
                <w:lang w:eastAsia="ja-JP"/>
              </w:rPr>
              <w:t>Methods</w:t>
            </w:r>
            <w:r w:rsidR="00912751">
              <w:rPr>
                <w:rFonts w:ascii="Arial" w:eastAsia="Times New Roman" w:hAnsi="Arial" w:cs="Arial"/>
                <w:sz w:val="18"/>
                <w:szCs w:val="18"/>
                <w:lang w:eastAsia="ja-JP"/>
              </w:rPr>
              <w:t>/assays</w:t>
            </w:r>
            <w:r w:rsidRPr="00C05870">
              <w:rPr>
                <w:rFonts w:ascii="Arial" w:eastAsia="Times New Roman" w:hAnsi="Arial" w:cs="Arial"/>
                <w:sz w:val="18"/>
                <w:szCs w:val="18"/>
                <w:lang w:eastAsia="ja-JP"/>
              </w:rPr>
              <w:t xml:space="preserve"> used in the IATA</w:t>
            </w:r>
          </w:p>
        </w:tc>
        <w:tc>
          <w:tcPr>
            <w:tcW w:w="2023" w:type="dxa"/>
            <w:tcBorders>
              <w:top w:val="nil"/>
              <w:left w:val="nil"/>
              <w:bottom w:val="single" w:sz="4" w:space="0" w:color="auto"/>
              <w:right w:val="single" w:sz="4" w:space="0" w:color="auto"/>
            </w:tcBorders>
            <w:shd w:val="clear" w:color="auto" w:fill="auto"/>
            <w:vAlign w:val="center"/>
          </w:tcPr>
          <w:p w14:paraId="5DDE69D3" w14:textId="77777777" w:rsidR="00567FB2" w:rsidRPr="004D597C" w:rsidRDefault="00567FB2" w:rsidP="00EA2259">
            <w:pPr>
              <w:spacing w:after="0" w:line="240" w:lineRule="auto"/>
              <w:rPr>
                <w:rFonts w:ascii="Arial" w:eastAsia="Times New Roman" w:hAnsi="Arial" w:cs="Arial"/>
                <w:sz w:val="18"/>
                <w:szCs w:val="18"/>
                <w:lang w:eastAsia="ja-JP"/>
              </w:rPr>
            </w:pPr>
          </w:p>
        </w:tc>
        <w:tc>
          <w:tcPr>
            <w:tcW w:w="1888" w:type="dxa"/>
            <w:tcBorders>
              <w:top w:val="nil"/>
              <w:left w:val="nil"/>
              <w:bottom w:val="single" w:sz="4" w:space="0" w:color="auto"/>
              <w:right w:val="single" w:sz="4" w:space="0" w:color="auto"/>
            </w:tcBorders>
          </w:tcPr>
          <w:p w14:paraId="388EACDA" w14:textId="77777777" w:rsidR="00567FB2" w:rsidRPr="004D597C" w:rsidRDefault="00567FB2" w:rsidP="00EA2259">
            <w:pPr>
              <w:spacing w:after="0" w:line="240" w:lineRule="auto"/>
              <w:rPr>
                <w:rFonts w:ascii="Arial" w:eastAsia="Times New Roman" w:hAnsi="Arial" w:cs="Arial"/>
                <w:sz w:val="18"/>
                <w:szCs w:val="18"/>
                <w:lang w:eastAsia="ja-JP"/>
              </w:rPr>
            </w:pPr>
          </w:p>
        </w:tc>
        <w:tc>
          <w:tcPr>
            <w:tcW w:w="2003" w:type="dxa"/>
            <w:tcBorders>
              <w:top w:val="nil"/>
              <w:left w:val="single" w:sz="4" w:space="0" w:color="auto"/>
              <w:bottom w:val="single" w:sz="4" w:space="0" w:color="auto"/>
              <w:right w:val="single" w:sz="4" w:space="0" w:color="auto"/>
            </w:tcBorders>
            <w:shd w:val="clear" w:color="auto" w:fill="auto"/>
            <w:vAlign w:val="center"/>
          </w:tcPr>
          <w:p w14:paraId="548A01EF" w14:textId="77777777" w:rsidR="00567FB2" w:rsidRPr="004D597C" w:rsidRDefault="00567FB2" w:rsidP="00EA2259">
            <w:pPr>
              <w:spacing w:after="0" w:line="240" w:lineRule="auto"/>
              <w:rPr>
                <w:rFonts w:ascii="Arial" w:eastAsia="Times New Roman" w:hAnsi="Arial" w:cs="Arial"/>
                <w:sz w:val="18"/>
                <w:szCs w:val="18"/>
                <w:lang w:eastAsia="ja-JP"/>
              </w:rPr>
            </w:pPr>
          </w:p>
        </w:tc>
      </w:tr>
      <w:tr w:rsidR="00567FB2" w:rsidRPr="00B82F81" w14:paraId="08CA7422" w14:textId="77777777" w:rsidTr="00EA2259">
        <w:trPr>
          <w:trHeight w:val="642"/>
          <w:jc w:val="center"/>
        </w:trPr>
        <w:tc>
          <w:tcPr>
            <w:tcW w:w="3102" w:type="dxa"/>
            <w:tcBorders>
              <w:top w:val="nil"/>
              <w:left w:val="single" w:sz="4" w:space="0" w:color="auto"/>
              <w:bottom w:val="single" w:sz="4" w:space="0" w:color="auto"/>
              <w:right w:val="single" w:sz="4" w:space="0" w:color="auto"/>
            </w:tcBorders>
            <w:shd w:val="clear" w:color="auto" w:fill="auto"/>
            <w:vAlign w:val="center"/>
            <w:hideMark/>
          </w:tcPr>
          <w:p w14:paraId="36F6F8A1" w14:textId="77777777" w:rsidR="00567FB2" w:rsidRPr="00B82F81" w:rsidRDefault="00567FB2" w:rsidP="00EA2259">
            <w:pPr>
              <w:spacing w:after="0" w:line="240" w:lineRule="auto"/>
              <w:rPr>
                <w:rFonts w:ascii="Arial" w:eastAsia="Times New Roman" w:hAnsi="Arial" w:cs="Arial"/>
                <w:sz w:val="18"/>
                <w:szCs w:val="18"/>
                <w:lang w:eastAsia="ja-JP"/>
              </w:rPr>
            </w:pPr>
            <w:r w:rsidRPr="00B82F81">
              <w:rPr>
                <w:rFonts w:ascii="Arial" w:eastAsia="Times New Roman" w:hAnsi="Arial" w:cs="Arial"/>
                <w:sz w:val="18"/>
                <w:szCs w:val="18"/>
                <w:lang w:eastAsia="ja-JP"/>
              </w:rPr>
              <w:t>Data/information gathered in the IATA</w:t>
            </w:r>
          </w:p>
        </w:tc>
        <w:tc>
          <w:tcPr>
            <w:tcW w:w="2023" w:type="dxa"/>
            <w:tcBorders>
              <w:top w:val="nil"/>
              <w:left w:val="nil"/>
              <w:bottom w:val="single" w:sz="4" w:space="0" w:color="auto"/>
              <w:right w:val="single" w:sz="4" w:space="0" w:color="auto"/>
            </w:tcBorders>
            <w:shd w:val="clear" w:color="auto" w:fill="auto"/>
            <w:vAlign w:val="center"/>
          </w:tcPr>
          <w:p w14:paraId="3BAD0B36" w14:textId="77777777" w:rsidR="00567FB2" w:rsidRPr="00B82F81" w:rsidRDefault="00567FB2" w:rsidP="00EA2259">
            <w:pPr>
              <w:spacing w:after="0" w:line="240" w:lineRule="auto"/>
              <w:rPr>
                <w:rFonts w:ascii="Arial" w:eastAsia="Times New Roman" w:hAnsi="Arial" w:cs="Arial"/>
                <w:sz w:val="18"/>
                <w:szCs w:val="18"/>
                <w:lang w:eastAsia="ja-JP"/>
              </w:rPr>
            </w:pPr>
          </w:p>
        </w:tc>
        <w:tc>
          <w:tcPr>
            <w:tcW w:w="1888" w:type="dxa"/>
            <w:tcBorders>
              <w:top w:val="nil"/>
              <w:left w:val="nil"/>
              <w:bottom w:val="single" w:sz="4" w:space="0" w:color="auto"/>
              <w:right w:val="single" w:sz="4" w:space="0" w:color="auto"/>
            </w:tcBorders>
          </w:tcPr>
          <w:p w14:paraId="7893DE78" w14:textId="77777777" w:rsidR="00567FB2" w:rsidRPr="00B82F81" w:rsidRDefault="00567FB2" w:rsidP="00EA2259">
            <w:pPr>
              <w:spacing w:after="0" w:line="240" w:lineRule="auto"/>
              <w:rPr>
                <w:rFonts w:ascii="Arial" w:eastAsia="Times New Roman" w:hAnsi="Arial" w:cs="Arial"/>
                <w:sz w:val="18"/>
                <w:szCs w:val="18"/>
                <w:lang w:eastAsia="ja-JP"/>
              </w:rPr>
            </w:pPr>
          </w:p>
        </w:tc>
        <w:tc>
          <w:tcPr>
            <w:tcW w:w="2003" w:type="dxa"/>
            <w:tcBorders>
              <w:top w:val="nil"/>
              <w:left w:val="single" w:sz="4" w:space="0" w:color="auto"/>
              <w:bottom w:val="single" w:sz="4" w:space="0" w:color="auto"/>
              <w:right w:val="single" w:sz="4" w:space="0" w:color="auto"/>
            </w:tcBorders>
            <w:shd w:val="clear" w:color="auto" w:fill="auto"/>
            <w:vAlign w:val="center"/>
          </w:tcPr>
          <w:p w14:paraId="5BCAA936" w14:textId="77777777" w:rsidR="00567FB2" w:rsidRPr="00B82F81" w:rsidRDefault="00567FB2" w:rsidP="00EA2259">
            <w:pPr>
              <w:spacing w:after="0" w:line="240" w:lineRule="auto"/>
              <w:rPr>
                <w:rFonts w:ascii="Arial" w:eastAsia="Times New Roman" w:hAnsi="Arial" w:cs="Arial"/>
                <w:sz w:val="18"/>
                <w:szCs w:val="18"/>
                <w:lang w:eastAsia="ja-JP"/>
              </w:rPr>
            </w:pPr>
          </w:p>
        </w:tc>
      </w:tr>
      <w:tr w:rsidR="00567FB2" w:rsidRPr="00B82F81" w14:paraId="0EE16A5A" w14:textId="77777777" w:rsidTr="00EA2259">
        <w:trPr>
          <w:trHeight w:val="642"/>
          <w:jc w:val="center"/>
        </w:trPr>
        <w:tc>
          <w:tcPr>
            <w:tcW w:w="3102" w:type="dxa"/>
            <w:tcBorders>
              <w:top w:val="nil"/>
              <w:left w:val="single" w:sz="4" w:space="0" w:color="auto"/>
              <w:bottom w:val="single" w:sz="4" w:space="0" w:color="auto"/>
              <w:right w:val="single" w:sz="4" w:space="0" w:color="auto"/>
            </w:tcBorders>
            <w:shd w:val="clear" w:color="auto" w:fill="auto"/>
            <w:vAlign w:val="center"/>
            <w:hideMark/>
          </w:tcPr>
          <w:p w14:paraId="59D5E4F6" w14:textId="4E8CC34E" w:rsidR="00567FB2" w:rsidRPr="00C05870" w:rsidRDefault="00567FB2" w:rsidP="00C05870">
            <w:pPr>
              <w:spacing w:after="0" w:line="240" w:lineRule="auto"/>
              <w:rPr>
                <w:rFonts w:ascii="Arial" w:eastAsia="Times New Roman" w:hAnsi="Arial" w:cs="Arial"/>
                <w:sz w:val="18"/>
                <w:szCs w:val="18"/>
                <w:lang w:eastAsia="ja-JP"/>
              </w:rPr>
            </w:pPr>
            <w:r w:rsidRPr="00B82F81">
              <w:rPr>
                <w:rFonts w:ascii="Arial" w:eastAsia="Times New Roman" w:hAnsi="Arial" w:cs="Arial"/>
                <w:sz w:val="18"/>
                <w:szCs w:val="18"/>
                <w:lang w:eastAsia="ja-JP"/>
              </w:rPr>
              <w:t xml:space="preserve">Quality of the </w:t>
            </w:r>
            <w:r w:rsidR="00912751">
              <w:rPr>
                <w:rFonts w:ascii="Arial" w:eastAsia="Times New Roman" w:hAnsi="Arial" w:cs="Arial"/>
                <w:sz w:val="18"/>
                <w:szCs w:val="18"/>
                <w:lang w:eastAsia="ja-JP"/>
              </w:rPr>
              <w:t>data/information</w:t>
            </w:r>
            <w:r w:rsidR="00912751" w:rsidRPr="00C05870">
              <w:rPr>
                <w:rFonts w:ascii="Arial" w:eastAsia="Times New Roman" w:hAnsi="Arial" w:cs="Arial"/>
                <w:sz w:val="18"/>
                <w:szCs w:val="18"/>
                <w:lang w:eastAsia="ja-JP"/>
              </w:rPr>
              <w:t xml:space="preserve"> used in the IATA</w:t>
            </w:r>
          </w:p>
        </w:tc>
        <w:tc>
          <w:tcPr>
            <w:tcW w:w="2023" w:type="dxa"/>
            <w:tcBorders>
              <w:top w:val="nil"/>
              <w:left w:val="nil"/>
              <w:bottom w:val="single" w:sz="4" w:space="0" w:color="auto"/>
              <w:right w:val="single" w:sz="4" w:space="0" w:color="auto"/>
            </w:tcBorders>
            <w:shd w:val="clear" w:color="auto" w:fill="auto"/>
            <w:vAlign w:val="center"/>
          </w:tcPr>
          <w:p w14:paraId="7DBD9C70" w14:textId="77777777" w:rsidR="00567FB2" w:rsidRPr="004D597C" w:rsidRDefault="00567FB2" w:rsidP="00EA2259">
            <w:pPr>
              <w:spacing w:after="0" w:line="240" w:lineRule="auto"/>
              <w:rPr>
                <w:rFonts w:ascii="Arial" w:eastAsia="Times New Roman" w:hAnsi="Arial" w:cs="Arial"/>
                <w:sz w:val="18"/>
                <w:szCs w:val="18"/>
                <w:lang w:eastAsia="ja-JP"/>
              </w:rPr>
            </w:pPr>
          </w:p>
        </w:tc>
        <w:tc>
          <w:tcPr>
            <w:tcW w:w="1888" w:type="dxa"/>
            <w:tcBorders>
              <w:top w:val="nil"/>
              <w:left w:val="nil"/>
              <w:bottom w:val="single" w:sz="4" w:space="0" w:color="auto"/>
              <w:right w:val="single" w:sz="4" w:space="0" w:color="auto"/>
            </w:tcBorders>
          </w:tcPr>
          <w:p w14:paraId="6E27642E" w14:textId="77777777" w:rsidR="00567FB2" w:rsidRPr="004D597C" w:rsidRDefault="00567FB2" w:rsidP="00EA2259">
            <w:pPr>
              <w:spacing w:after="0" w:line="240" w:lineRule="auto"/>
              <w:rPr>
                <w:rFonts w:ascii="Arial" w:eastAsia="Times New Roman" w:hAnsi="Arial" w:cs="Arial"/>
                <w:sz w:val="18"/>
                <w:szCs w:val="18"/>
                <w:lang w:eastAsia="ja-JP"/>
              </w:rPr>
            </w:pPr>
          </w:p>
        </w:tc>
        <w:tc>
          <w:tcPr>
            <w:tcW w:w="2003" w:type="dxa"/>
            <w:tcBorders>
              <w:top w:val="nil"/>
              <w:left w:val="single" w:sz="4" w:space="0" w:color="auto"/>
              <w:bottom w:val="single" w:sz="4" w:space="0" w:color="auto"/>
              <w:right w:val="single" w:sz="4" w:space="0" w:color="auto"/>
            </w:tcBorders>
            <w:shd w:val="clear" w:color="auto" w:fill="auto"/>
            <w:vAlign w:val="center"/>
          </w:tcPr>
          <w:p w14:paraId="783B1D56" w14:textId="77777777" w:rsidR="00567FB2" w:rsidRPr="004D597C" w:rsidRDefault="00567FB2" w:rsidP="00EA2259">
            <w:pPr>
              <w:spacing w:after="0" w:line="240" w:lineRule="auto"/>
              <w:rPr>
                <w:rFonts w:ascii="Arial" w:eastAsia="Times New Roman" w:hAnsi="Arial" w:cs="Arial"/>
                <w:sz w:val="18"/>
                <w:szCs w:val="18"/>
                <w:lang w:eastAsia="ja-JP"/>
              </w:rPr>
            </w:pPr>
          </w:p>
        </w:tc>
      </w:tr>
      <w:tr w:rsidR="00567FB2" w:rsidRPr="00B82F81" w14:paraId="4F2B6C50" w14:textId="77777777" w:rsidTr="00EA2259">
        <w:trPr>
          <w:trHeight w:val="642"/>
          <w:jc w:val="center"/>
        </w:trPr>
        <w:tc>
          <w:tcPr>
            <w:tcW w:w="3102" w:type="dxa"/>
            <w:tcBorders>
              <w:top w:val="nil"/>
              <w:left w:val="single" w:sz="4" w:space="0" w:color="auto"/>
              <w:bottom w:val="single" w:sz="4" w:space="0" w:color="auto"/>
              <w:right w:val="single" w:sz="4" w:space="0" w:color="auto"/>
            </w:tcBorders>
            <w:shd w:val="clear" w:color="auto" w:fill="auto"/>
            <w:vAlign w:val="center"/>
            <w:hideMark/>
          </w:tcPr>
          <w:p w14:paraId="78B9A6C7" w14:textId="77777777" w:rsidR="00567FB2" w:rsidRPr="00B82F81" w:rsidRDefault="00567FB2" w:rsidP="00EA2259">
            <w:pPr>
              <w:spacing w:after="0" w:line="240" w:lineRule="auto"/>
              <w:rPr>
                <w:rFonts w:ascii="Arial" w:eastAsia="Times New Roman" w:hAnsi="Arial" w:cs="Arial"/>
                <w:sz w:val="18"/>
                <w:szCs w:val="18"/>
                <w:lang w:eastAsia="ja-JP"/>
              </w:rPr>
            </w:pPr>
            <w:r w:rsidRPr="00B82F81">
              <w:rPr>
                <w:rFonts w:ascii="Arial" w:eastAsia="Times New Roman" w:hAnsi="Arial" w:cs="Arial"/>
                <w:sz w:val="18"/>
                <w:szCs w:val="18"/>
                <w:lang w:eastAsia="ja-JP"/>
              </w:rPr>
              <w:t>Concordance and weight of evidence of all data used for justifying the hypothesis</w:t>
            </w:r>
          </w:p>
        </w:tc>
        <w:tc>
          <w:tcPr>
            <w:tcW w:w="2023" w:type="dxa"/>
            <w:tcBorders>
              <w:top w:val="nil"/>
              <w:left w:val="nil"/>
              <w:bottom w:val="single" w:sz="4" w:space="0" w:color="auto"/>
              <w:right w:val="single" w:sz="4" w:space="0" w:color="auto"/>
            </w:tcBorders>
            <w:shd w:val="clear" w:color="auto" w:fill="auto"/>
            <w:vAlign w:val="center"/>
          </w:tcPr>
          <w:p w14:paraId="05402751" w14:textId="77777777" w:rsidR="00567FB2" w:rsidRPr="00B82F81" w:rsidRDefault="00567FB2" w:rsidP="00EA2259">
            <w:pPr>
              <w:spacing w:after="0" w:line="240" w:lineRule="auto"/>
              <w:rPr>
                <w:rFonts w:ascii="Arial" w:eastAsia="Times New Roman" w:hAnsi="Arial" w:cs="Arial"/>
                <w:sz w:val="18"/>
                <w:szCs w:val="18"/>
                <w:lang w:eastAsia="ja-JP"/>
              </w:rPr>
            </w:pPr>
          </w:p>
        </w:tc>
        <w:tc>
          <w:tcPr>
            <w:tcW w:w="1888" w:type="dxa"/>
            <w:tcBorders>
              <w:top w:val="nil"/>
              <w:left w:val="nil"/>
              <w:bottom w:val="single" w:sz="4" w:space="0" w:color="auto"/>
              <w:right w:val="single" w:sz="4" w:space="0" w:color="auto"/>
            </w:tcBorders>
          </w:tcPr>
          <w:p w14:paraId="09310E32" w14:textId="77777777" w:rsidR="00567FB2" w:rsidRPr="00B82F81" w:rsidRDefault="00567FB2" w:rsidP="00EA2259">
            <w:pPr>
              <w:spacing w:after="0" w:line="240" w:lineRule="auto"/>
              <w:rPr>
                <w:rFonts w:ascii="Arial" w:eastAsia="Times New Roman" w:hAnsi="Arial" w:cs="Arial"/>
                <w:sz w:val="18"/>
                <w:szCs w:val="18"/>
                <w:lang w:eastAsia="ja-JP"/>
              </w:rPr>
            </w:pPr>
          </w:p>
        </w:tc>
        <w:tc>
          <w:tcPr>
            <w:tcW w:w="2003" w:type="dxa"/>
            <w:tcBorders>
              <w:top w:val="nil"/>
              <w:left w:val="single" w:sz="4" w:space="0" w:color="auto"/>
              <w:bottom w:val="single" w:sz="4" w:space="0" w:color="auto"/>
              <w:right w:val="single" w:sz="4" w:space="0" w:color="auto"/>
            </w:tcBorders>
            <w:shd w:val="clear" w:color="auto" w:fill="auto"/>
            <w:vAlign w:val="center"/>
          </w:tcPr>
          <w:p w14:paraId="39FA3762" w14:textId="77777777" w:rsidR="00567FB2" w:rsidRPr="00B82F81" w:rsidRDefault="00567FB2" w:rsidP="00EA2259">
            <w:pPr>
              <w:spacing w:after="0" w:line="240" w:lineRule="auto"/>
              <w:rPr>
                <w:rFonts w:ascii="Arial" w:eastAsia="Times New Roman" w:hAnsi="Arial" w:cs="Arial"/>
                <w:sz w:val="18"/>
                <w:szCs w:val="18"/>
                <w:lang w:eastAsia="ja-JP"/>
              </w:rPr>
            </w:pPr>
          </w:p>
        </w:tc>
      </w:tr>
      <w:tr w:rsidR="00567FB2" w:rsidRPr="00B82F81" w14:paraId="431C257C" w14:textId="77777777" w:rsidTr="00EA2259">
        <w:trPr>
          <w:trHeight w:val="642"/>
          <w:jc w:val="center"/>
        </w:trPr>
        <w:tc>
          <w:tcPr>
            <w:tcW w:w="3102" w:type="dxa"/>
            <w:tcBorders>
              <w:top w:val="nil"/>
              <w:left w:val="single" w:sz="4" w:space="0" w:color="auto"/>
              <w:bottom w:val="single" w:sz="4" w:space="0" w:color="auto"/>
              <w:right w:val="single" w:sz="4" w:space="0" w:color="auto"/>
            </w:tcBorders>
            <w:shd w:val="clear" w:color="auto" w:fill="auto"/>
            <w:vAlign w:val="center"/>
            <w:hideMark/>
          </w:tcPr>
          <w:p w14:paraId="4FE71E5D" w14:textId="77777777" w:rsidR="00567FB2" w:rsidRPr="00B82F81" w:rsidRDefault="00567FB2" w:rsidP="00EA2259">
            <w:pPr>
              <w:spacing w:after="0" w:line="240" w:lineRule="auto"/>
              <w:rPr>
                <w:rFonts w:ascii="Times New Roman" w:eastAsia="MS Mincho" w:hAnsi="Times New Roman" w:cs="Times New Roman"/>
                <w:sz w:val="24"/>
                <w:szCs w:val="24"/>
                <w:lang w:eastAsia="ja-JP"/>
              </w:rPr>
            </w:pPr>
            <w:r w:rsidRPr="00B82F81">
              <w:rPr>
                <w:rFonts w:ascii="Arial" w:eastAsia="Times New Roman" w:hAnsi="Arial" w:cs="Arial"/>
                <w:sz w:val="18"/>
                <w:szCs w:val="18"/>
                <w:lang w:eastAsia="ja-JP"/>
              </w:rPr>
              <w:lastRenderedPageBreak/>
              <w:t>Overall uncertainty of the IATA</w:t>
            </w:r>
            <w:r w:rsidRPr="00B82F81">
              <w:rPr>
                <w:rFonts w:ascii="Times New Roman" w:hAnsi="Times New Roman" w:cs="Times New Roman"/>
                <w:sz w:val="24"/>
                <w:szCs w:val="24"/>
                <w:lang w:eastAsia="ja-JP"/>
              </w:rPr>
              <w:t xml:space="preserve"> </w:t>
            </w:r>
          </w:p>
        </w:tc>
        <w:tc>
          <w:tcPr>
            <w:tcW w:w="2023" w:type="dxa"/>
            <w:tcBorders>
              <w:top w:val="nil"/>
              <w:left w:val="nil"/>
              <w:bottom w:val="single" w:sz="4" w:space="0" w:color="auto"/>
              <w:right w:val="single" w:sz="4" w:space="0" w:color="auto"/>
            </w:tcBorders>
            <w:shd w:val="clear" w:color="auto" w:fill="auto"/>
            <w:vAlign w:val="center"/>
          </w:tcPr>
          <w:p w14:paraId="7084C5CD" w14:textId="77777777" w:rsidR="00567FB2" w:rsidRPr="00B82F81" w:rsidRDefault="00567FB2" w:rsidP="00EA2259">
            <w:pPr>
              <w:spacing w:after="0" w:line="240" w:lineRule="auto"/>
              <w:rPr>
                <w:rFonts w:ascii="Arial" w:eastAsia="Times New Roman" w:hAnsi="Arial" w:cs="Arial"/>
                <w:sz w:val="18"/>
                <w:szCs w:val="18"/>
                <w:lang w:eastAsia="ja-JP"/>
              </w:rPr>
            </w:pPr>
          </w:p>
        </w:tc>
        <w:tc>
          <w:tcPr>
            <w:tcW w:w="1888" w:type="dxa"/>
            <w:tcBorders>
              <w:top w:val="nil"/>
              <w:left w:val="nil"/>
              <w:bottom w:val="single" w:sz="4" w:space="0" w:color="auto"/>
              <w:right w:val="single" w:sz="4" w:space="0" w:color="auto"/>
            </w:tcBorders>
          </w:tcPr>
          <w:p w14:paraId="30A53885" w14:textId="77777777" w:rsidR="00567FB2" w:rsidRPr="00B82F81" w:rsidRDefault="00567FB2" w:rsidP="00EA2259">
            <w:pPr>
              <w:spacing w:after="0" w:line="240" w:lineRule="auto"/>
              <w:rPr>
                <w:rFonts w:ascii="Arial" w:eastAsia="Times New Roman" w:hAnsi="Arial" w:cs="Arial"/>
                <w:sz w:val="18"/>
                <w:szCs w:val="18"/>
                <w:lang w:eastAsia="ja-JP"/>
              </w:rPr>
            </w:pPr>
          </w:p>
        </w:tc>
        <w:tc>
          <w:tcPr>
            <w:tcW w:w="2003" w:type="dxa"/>
            <w:tcBorders>
              <w:top w:val="nil"/>
              <w:left w:val="single" w:sz="4" w:space="0" w:color="auto"/>
              <w:bottom w:val="single" w:sz="4" w:space="0" w:color="auto"/>
              <w:right w:val="single" w:sz="4" w:space="0" w:color="auto"/>
            </w:tcBorders>
            <w:shd w:val="clear" w:color="auto" w:fill="auto"/>
            <w:vAlign w:val="center"/>
          </w:tcPr>
          <w:p w14:paraId="4D760149" w14:textId="77777777" w:rsidR="00567FB2" w:rsidRPr="00B82F81" w:rsidRDefault="00567FB2" w:rsidP="00EA2259">
            <w:pPr>
              <w:spacing w:after="0" w:line="240" w:lineRule="auto"/>
              <w:rPr>
                <w:rFonts w:ascii="Arial" w:eastAsia="Times New Roman" w:hAnsi="Arial" w:cs="Arial"/>
                <w:sz w:val="18"/>
                <w:szCs w:val="18"/>
                <w:lang w:eastAsia="ja-JP"/>
              </w:rPr>
            </w:pPr>
          </w:p>
        </w:tc>
      </w:tr>
    </w:tbl>
    <w:p w14:paraId="5AE1192F" w14:textId="1BE211CE" w:rsidR="0076155B" w:rsidRDefault="0076155B" w:rsidP="006A6BD1">
      <w:pPr>
        <w:pStyle w:val="ListParagraph"/>
        <w:tabs>
          <w:tab w:val="left" w:pos="426"/>
        </w:tabs>
        <w:ind w:left="426"/>
      </w:pPr>
    </w:p>
    <w:p w14:paraId="4AD1DF88" w14:textId="26B9A0D3" w:rsidR="009B4A6A" w:rsidRPr="009B4A6A" w:rsidRDefault="009B4A6A" w:rsidP="006A6BD1">
      <w:pPr>
        <w:pStyle w:val="ListParagraph"/>
        <w:tabs>
          <w:tab w:val="left" w:pos="426"/>
        </w:tabs>
        <w:ind w:left="426"/>
      </w:pPr>
      <w:r>
        <w:rPr>
          <w:noProof/>
          <w:lang w:eastAsia="ja-JP"/>
        </w:rPr>
        <mc:AlternateContent>
          <mc:Choice Requires="wps">
            <w:drawing>
              <wp:inline distT="0" distB="0" distL="0" distR="0" wp14:anchorId="3A5B8F5A" wp14:editId="65973B39">
                <wp:extent cx="5705475" cy="695325"/>
                <wp:effectExtent l="0" t="0" r="2857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95325"/>
                        </a:xfrm>
                        <a:prstGeom prst="rect">
                          <a:avLst/>
                        </a:prstGeom>
                        <a:solidFill>
                          <a:srgbClr val="FFFFFF"/>
                        </a:solidFill>
                        <a:ln w="9525">
                          <a:solidFill>
                            <a:srgbClr val="000000"/>
                          </a:solidFill>
                          <a:miter lim="800000"/>
                          <a:headEnd/>
                          <a:tailEnd/>
                        </a:ln>
                      </wps:spPr>
                      <wps:txbx>
                        <w:txbxContent>
                          <w:p w14:paraId="26DC0C21" w14:textId="77777777" w:rsidR="00952B38" w:rsidRPr="00DC2B2A" w:rsidRDefault="00952B38" w:rsidP="009B4A6A">
                            <w:pPr>
                              <w:spacing w:after="0" w:line="240" w:lineRule="auto"/>
                              <w:rPr>
                                <w:rFonts w:eastAsia="MS Mincho"/>
                                <w:lang w:eastAsia="ja-JP"/>
                              </w:rPr>
                            </w:pPr>
                            <w:r w:rsidRPr="00DC2B2A">
                              <w:rPr>
                                <w:rFonts w:eastAsia="MS Mincho"/>
                                <w:lang w:eastAsia="ja-JP"/>
                              </w:rPr>
                              <w:t>Tip</w:t>
                            </w:r>
                          </w:p>
                          <w:p w14:paraId="62CA20A2" w14:textId="77777777" w:rsidR="00952B38" w:rsidRPr="00DC2B2A" w:rsidRDefault="00952B38" w:rsidP="009B4A6A">
                            <w:pPr>
                              <w:pStyle w:val="ListParagraph"/>
                              <w:numPr>
                                <w:ilvl w:val="0"/>
                                <w:numId w:val="22"/>
                              </w:numPr>
                              <w:spacing w:after="0" w:line="240" w:lineRule="auto"/>
                              <w:ind w:left="284" w:hanging="284"/>
                              <w:rPr>
                                <w:rFonts w:eastAsia="MS Mincho"/>
                                <w:lang w:eastAsia="ja-JP"/>
                              </w:rPr>
                            </w:pPr>
                            <w:r w:rsidRPr="00DC2B2A">
                              <w:rPr>
                                <w:rFonts w:eastAsia="MS Mincho" w:hint="eastAsia"/>
                                <w:lang w:eastAsia="ja-JP"/>
                              </w:rPr>
                              <w:t>When us</w:t>
                            </w:r>
                            <w:r>
                              <w:rPr>
                                <w:rFonts w:eastAsia="MS Mincho" w:hint="eastAsia"/>
                                <w:lang w:eastAsia="ja-JP"/>
                              </w:rPr>
                              <w:t>ing</w:t>
                            </w:r>
                            <w:r w:rsidRPr="00DC2B2A">
                              <w:rPr>
                                <w:rFonts w:eastAsia="MS Mincho" w:hint="eastAsia"/>
                                <w:lang w:eastAsia="ja-JP"/>
                              </w:rPr>
                              <w:t xml:space="preserve"> rank</w:t>
                            </w:r>
                            <w:r w:rsidRPr="00DC2B2A">
                              <w:rPr>
                                <w:rFonts w:eastAsia="MS Mincho"/>
                                <w:lang w:eastAsia="ja-JP"/>
                              </w:rPr>
                              <w:t>s</w:t>
                            </w:r>
                            <w:r w:rsidRPr="00DC2B2A">
                              <w:rPr>
                                <w:rFonts w:eastAsia="MS Mincho" w:hint="eastAsia"/>
                                <w:lang w:eastAsia="ja-JP"/>
                              </w:rPr>
                              <w:t xml:space="preserve"> to </w:t>
                            </w:r>
                            <w:r w:rsidRPr="00DC2B2A">
                              <w:rPr>
                                <w:rFonts w:eastAsia="MS Mincho"/>
                                <w:lang w:eastAsia="ja-JP"/>
                              </w:rPr>
                              <w:t>indicate uncertainties</w:t>
                            </w:r>
                            <w:r>
                              <w:rPr>
                                <w:rFonts w:eastAsia="MS Mincho" w:hint="eastAsia"/>
                                <w:lang w:eastAsia="ja-JP"/>
                              </w:rPr>
                              <w:t xml:space="preserve"> </w:t>
                            </w:r>
                            <w:r>
                              <w:rPr>
                                <w:rFonts w:eastAsia="MS Mincho"/>
                                <w:lang w:eastAsia="ja-JP"/>
                              </w:rPr>
                              <w:t>(e.g. low, medium, high)</w:t>
                            </w:r>
                            <w:r w:rsidRPr="00DC2B2A">
                              <w:rPr>
                                <w:rFonts w:eastAsia="MS Mincho"/>
                                <w:lang w:eastAsia="ja-JP"/>
                              </w:rPr>
                              <w:t xml:space="preserve">, </w:t>
                            </w:r>
                            <w:r w:rsidRPr="00DC2B2A">
                              <w:rPr>
                                <w:rFonts w:eastAsia="MS Mincho" w:hint="eastAsia"/>
                                <w:lang w:eastAsia="ja-JP"/>
                              </w:rPr>
                              <w:t>definition</w:t>
                            </w:r>
                            <w:r w:rsidRPr="00DC2B2A">
                              <w:rPr>
                                <w:rFonts w:eastAsia="MS Mincho"/>
                                <w:lang w:eastAsia="ja-JP"/>
                              </w:rPr>
                              <w:t xml:space="preserve">s </w:t>
                            </w:r>
                            <w:r>
                              <w:rPr>
                                <w:rFonts w:eastAsia="MS Mincho" w:hint="eastAsia"/>
                                <w:lang w:eastAsia="ja-JP"/>
                              </w:rPr>
                              <w:t xml:space="preserve">should </w:t>
                            </w:r>
                            <w:r w:rsidRPr="00DC2B2A">
                              <w:rPr>
                                <w:rFonts w:eastAsia="MS Mincho" w:hint="eastAsia"/>
                                <w:lang w:eastAsia="ja-JP"/>
                              </w:rPr>
                              <w:t>be</w:t>
                            </w:r>
                            <w:r>
                              <w:rPr>
                                <w:rFonts w:eastAsia="MS Mincho" w:hint="eastAsia"/>
                                <w:lang w:eastAsia="ja-JP"/>
                              </w:rPr>
                              <w:t xml:space="preserve"> provided</w:t>
                            </w:r>
                            <w:r w:rsidRPr="00DC2B2A">
                              <w:rPr>
                                <w:rFonts w:eastAsia="MS Mincho" w:hint="eastAsia"/>
                                <w:lang w:eastAsia="ja-JP"/>
                              </w:rPr>
                              <w:t>.</w:t>
                            </w:r>
                          </w:p>
                        </w:txbxContent>
                      </wps:txbx>
                      <wps:bodyPr rot="0" vert="horz" wrap="square" lIns="91440" tIns="45720" rIns="91440" bIns="45720" anchor="t" anchorCtr="0" upright="1">
                        <a:noAutofit/>
                      </wps:bodyPr>
                    </wps:wsp>
                  </a:graphicData>
                </a:graphic>
              </wp:inline>
            </w:drawing>
          </mc:Choice>
          <mc:Fallback>
            <w:pict>
              <v:shape w14:anchorId="3A5B8F5A" id="Text Box 2" o:spid="_x0000_s1028" type="#_x0000_t202" style="width:449.2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QOKwIAAFcEAAAOAAAAZHJzL2Uyb0RvYy54bWysVNuO2yAQfa/Uf0C8N06y8WZjxVlts01V&#10;aXuRdvsBGGMbFRgKJHb69R1wNk0v6kNVPyAGhjMz58x4fTtoRQ7CeQmmpLPJlBJhONTStCX9/LR7&#10;dUOJD8zUTIERJT0KT283L1+se1uIOXSgauEIghhf9LakXQi2yDLPO6GZn4AVBi8bcJoFNF2b1Y71&#10;iK5VNp9Or7MeXG0dcOE9nt6Pl3ST8JtG8PCxabwIRJUUcwtpdWmt4ppt1qxoHbOd5Kc02D9koZk0&#10;GPQMdc8CI3snf4PSkjvw0IQJB51B00guUg1YzWz6SzWPHbMi1YLkeHumyf8/WP7h8MkRWZf0ihLD&#10;NEr0JIZAXsNA5pGd3voCnR4tuoUBj1HlVKm3D8C/eGJg2zHTijvnoO8EqzG7WXyZXTwdcXwEqfr3&#10;UGMYtg+QgIbG6UgdkkEQHVU6npWJqXA8zJfTfLHMKeF4d73Kr+Z5CsGK59fW+fBWgCZxU1KHyid0&#10;dnjwIWbDimeXGMyDkvVOKpUM11Zb5ciBYZfs0ndC/8lNGdKXdJVj7L9DTNP3JwgtA7a7krqkN2cn&#10;VkTa3pg6NWNgUo17TFmZE4+RupHEMFRDEuwsTwX1EYl1MHY3TiNuOnDfKOmxs0vqv+6ZE5SodwbF&#10;Wc0WizgKyVjkyzka7vKmurxhhiNUSQMl43YbxvHZWyfbDiON7WDgDgVtZOI6Kj9mdUofuzdJcJq0&#10;OB6XdvL68T/YfAcAAP//AwBQSwMEFAAGAAgAAAAhAMSm9jrcAAAABQEAAA8AAABkcnMvZG93bnJl&#10;di54bWxMj81OwzAQhO9IvIO1SFwQdfhpSUKcCiGB4AZtBVc33iYR9jrYbhrenoULXEZazWjm22o5&#10;OStGDLH3pOBiloFAarzpqVWwWT+c5yBi0mS09YQKvjDCsj4+qnRp/IFecVylVnAJxVIr6FIaSilj&#10;06HTceYHJPZ2Pjid+AytNEEfuNxZeZllC+l0T7zQ6QHvO2w+VnunIL9+Gt/j89XLW7PY2SKd3YyP&#10;n0Gp05Pp7hZEwin9heEHn9GhZqat35OJwirgR9KvspcX+RzElkNZMQdZV/I/ff0NAAD//wMAUEsB&#10;Ai0AFAAGAAgAAAAhALaDOJL+AAAA4QEAABMAAAAAAAAAAAAAAAAAAAAAAFtDb250ZW50X1R5cGVz&#10;XS54bWxQSwECLQAUAAYACAAAACEAOP0h/9YAAACUAQAACwAAAAAAAAAAAAAAAAAvAQAAX3JlbHMv&#10;LnJlbHNQSwECLQAUAAYACAAAACEArKiEDisCAABXBAAADgAAAAAAAAAAAAAAAAAuAgAAZHJzL2Uy&#10;b0RvYy54bWxQSwECLQAUAAYACAAAACEAxKb2OtwAAAAFAQAADwAAAAAAAAAAAAAAAACFBAAAZHJz&#10;L2Rvd25yZXYueG1sUEsFBgAAAAAEAAQA8wAAAI4FAAAAAA==&#10;">
                <v:textbox>
                  <w:txbxContent>
                    <w:p w14:paraId="26DC0C21" w14:textId="77777777" w:rsidR="00952B38" w:rsidRPr="00DC2B2A" w:rsidRDefault="00952B38" w:rsidP="009B4A6A">
                      <w:pPr>
                        <w:spacing w:after="0" w:line="240" w:lineRule="auto"/>
                        <w:rPr>
                          <w:rFonts w:eastAsia="MS Mincho"/>
                          <w:lang w:eastAsia="ja-JP"/>
                        </w:rPr>
                      </w:pPr>
                      <w:r w:rsidRPr="00DC2B2A">
                        <w:rPr>
                          <w:rFonts w:eastAsia="MS Mincho"/>
                          <w:lang w:eastAsia="ja-JP"/>
                        </w:rPr>
                        <w:t>Tip</w:t>
                      </w:r>
                    </w:p>
                    <w:p w14:paraId="62CA20A2" w14:textId="77777777" w:rsidR="00952B38" w:rsidRPr="00DC2B2A" w:rsidRDefault="00952B38" w:rsidP="009B4A6A">
                      <w:pPr>
                        <w:pStyle w:val="ListParagraph"/>
                        <w:numPr>
                          <w:ilvl w:val="0"/>
                          <w:numId w:val="22"/>
                        </w:numPr>
                        <w:spacing w:after="0" w:line="240" w:lineRule="auto"/>
                        <w:ind w:left="284" w:hanging="284"/>
                        <w:rPr>
                          <w:rFonts w:eastAsia="MS Mincho"/>
                          <w:lang w:eastAsia="ja-JP"/>
                        </w:rPr>
                      </w:pPr>
                      <w:r w:rsidRPr="00DC2B2A">
                        <w:rPr>
                          <w:rFonts w:eastAsia="MS Mincho" w:hint="eastAsia"/>
                          <w:lang w:eastAsia="ja-JP"/>
                        </w:rPr>
                        <w:t>When us</w:t>
                      </w:r>
                      <w:r>
                        <w:rPr>
                          <w:rFonts w:eastAsia="MS Mincho" w:hint="eastAsia"/>
                          <w:lang w:eastAsia="ja-JP"/>
                        </w:rPr>
                        <w:t>ing</w:t>
                      </w:r>
                      <w:r w:rsidRPr="00DC2B2A">
                        <w:rPr>
                          <w:rFonts w:eastAsia="MS Mincho" w:hint="eastAsia"/>
                          <w:lang w:eastAsia="ja-JP"/>
                        </w:rPr>
                        <w:t xml:space="preserve"> rank</w:t>
                      </w:r>
                      <w:r w:rsidRPr="00DC2B2A">
                        <w:rPr>
                          <w:rFonts w:eastAsia="MS Mincho"/>
                          <w:lang w:eastAsia="ja-JP"/>
                        </w:rPr>
                        <w:t>s</w:t>
                      </w:r>
                      <w:r w:rsidRPr="00DC2B2A">
                        <w:rPr>
                          <w:rFonts w:eastAsia="MS Mincho" w:hint="eastAsia"/>
                          <w:lang w:eastAsia="ja-JP"/>
                        </w:rPr>
                        <w:t xml:space="preserve"> to </w:t>
                      </w:r>
                      <w:r w:rsidRPr="00DC2B2A">
                        <w:rPr>
                          <w:rFonts w:eastAsia="MS Mincho"/>
                          <w:lang w:eastAsia="ja-JP"/>
                        </w:rPr>
                        <w:t>indicate uncertainties</w:t>
                      </w:r>
                      <w:r>
                        <w:rPr>
                          <w:rFonts w:eastAsia="MS Mincho" w:hint="eastAsia"/>
                          <w:lang w:eastAsia="ja-JP"/>
                        </w:rPr>
                        <w:t xml:space="preserve"> </w:t>
                      </w:r>
                      <w:r>
                        <w:rPr>
                          <w:rFonts w:eastAsia="MS Mincho"/>
                          <w:lang w:eastAsia="ja-JP"/>
                        </w:rPr>
                        <w:t>(e.g. low, medium, high)</w:t>
                      </w:r>
                      <w:r w:rsidRPr="00DC2B2A">
                        <w:rPr>
                          <w:rFonts w:eastAsia="MS Mincho"/>
                          <w:lang w:eastAsia="ja-JP"/>
                        </w:rPr>
                        <w:t xml:space="preserve">, </w:t>
                      </w:r>
                      <w:r w:rsidRPr="00DC2B2A">
                        <w:rPr>
                          <w:rFonts w:eastAsia="MS Mincho" w:hint="eastAsia"/>
                          <w:lang w:eastAsia="ja-JP"/>
                        </w:rPr>
                        <w:t>definition</w:t>
                      </w:r>
                      <w:r w:rsidRPr="00DC2B2A">
                        <w:rPr>
                          <w:rFonts w:eastAsia="MS Mincho"/>
                          <w:lang w:eastAsia="ja-JP"/>
                        </w:rPr>
                        <w:t xml:space="preserve">s </w:t>
                      </w:r>
                      <w:r>
                        <w:rPr>
                          <w:rFonts w:eastAsia="MS Mincho" w:hint="eastAsia"/>
                          <w:lang w:eastAsia="ja-JP"/>
                        </w:rPr>
                        <w:t xml:space="preserve">should </w:t>
                      </w:r>
                      <w:r w:rsidRPr="00DC2B2A">
                        <w:rPr>
                          <w:rFonts w:eastAsia="MS Mincho" w:hint="eastAsia"/>
                          <w:lang w:eastAsia="ja-JP"/>
                        </w:rPr>
                        <w:t>be</w:t>
                      </w:r>
                      <w:r>
                        <w:rPr>
                          <w:rFonts w:eastAsia="MS Mincho" w:hint="eastAsia"/>
                          <w:lang w:eastAsia="ja-JP"/>
                        </w:rPr>
                        <w:t xml:space="preserve"> provided</w:t>
                      </w:r>
                      <w:r w:rsidRPr="00DC2B2A">
                        <w:rPr>
                          <w:rFonts w:eastAsia="MS Mincho" w:hint="eastAsia"/>
                          <w:lang w:eastAsia="ja-JP"/>
                        </w:rPr>
                        <w:t>.</w:t>
                      </w:r>
                    </w:p>
                  </w:txbxContent>
                </v:textbox>
                <w10:anchorlock/>
              </v:shape>
            </w:pict>
          </mc:Fallback>
        </mc:AlternateContent>
      </w:r>
    </w:p>
    <w:p w14:paraId="0890126B" w14:textId="77777777" w:rsidR="006100B7" w:rsidRPr="009B4A6A" w:rsidRDefault="00810973" w:rsidP="006100B7">
      <w:pPr>
        <w:tabs>
          <w:tab w:val="left" w:pos="284"/>
          <w:tab w:val="left" w:pos="567"/>
        </w:tabs>
        <w:spacing w:after="0"/>
      </w:pPr>
      <w:r w:rsidRPr="009B4A6A">
        <w:t>d</w:t>
      </w:r>
      <w:r w:rsidR="005C3E03" w:rsidRPr="009B4A6A">
        <w:t>.</w:t>
      </w:r>
      <w:r w:rsidR="00755001" w:rsidRPr="009B4A6A">
        <w:t xml:space="preserve"> </w:t>
      </w:r>
      <w:r w:rsidR="006100B7" w:rsidRPr="009B4A6A">
        <w:t>Strategy and integrated conclusion</w:t>
      </w:r>
    </w:p>
    <w:p w14:paraId="1A1F4D65" w14:textId="77777777" w:rsidR="006100B7" w:rsidRPr="00B82F81" w:rsidRDefault="006100B7" w:rsidP="009D78A4">
      <w:pPr>
        <w:pStyle w:val="ListParagraph"/>
        <w:numPr>
          <w:ilvl w:val="0"/>
          <w:numId w:val="16"/>
        </w:numPr>
        <w:tabs>
          <w:tab w:val="left" w:pos="426"/>
        </w:tabs>
        <w:ind w:left="426" w:hanging="284"/>
        <w:rPr>
          <w:b/>
        </w:rPr>
      </w:pPr>
      <w:r w:rsidRPr="00B82F81">
        <w:t>Describe the strategy used to develop the integrated conclusion.</w:t>
      </w:r>
    </w:p>
    <w:p w14:paraId="3DE8C9D9" w14:textId="77777777" w:rsidR="006100B7" w:rsidRPr="00C05870" w:rsidRDefault="006100B7" w:rsidP="009D78A4">
      <w:pPr>
        <w:pStyle w:val="ListParagraph"/>
        <w:numPr>
          <w:ilvl w:val="0"/>
          <w:numId w:val="16"/>
        </w:numPr>
        <w:tabs>
          <w:tab w:val="left" w:pos="426"/>
        </w:tabs>
        <w:ind w:left="426" w:hanging="284"/>
        <w:rPr>
          <w:b/>
        </w:rPr>
      </w:pPr>
      <w:r w:rsidRPr="00132387">
        <w:t>Discuss how/if to further address the uncertainties.</w:t>
      </w:r>
    </w:p>
    <w:p w14:paraId="26945F7A" w14:textId="77777777" w:rsidR="006100B7" w:rsidRPr="00C05870" w:rsidRDefault="006100B7" w:rsidP="009D78A4">
      <w:pPr>
        <w:pStyle w:val="ListParagraph"/>
        <w:numPr>
          <w:ilvl w:val="0"/>
          <w:numId w:val="16"/>
        </w:numPr>
        <w:tabs>
          <w:tab w:val="left" w:pos="426"/>
        </w:tabs>
        <w:spacing w:after="0" w:line="240" w:lineRule="auto"/>
        <w:ind w:left="426" w:hanging="284"/>
        <w:rPr>
          <w:rFonts w:ascii="Times New Roman" w:hAnsi="Times New Roman" w:cs="Times New Roman"/>
          <w:sz w:val="24"/>
          <w:szCs w:val="24"/>
          <w:lang w:eastAsia="ja-JP"/>
        </w:rPr>
      </w:pPr>
      <w:r w:rsidRPr="00C05870">
        <w:t xml:space="preserve">Finally, provide </w:t>
      </w:r>
      <w:r w:rsidRPr="00132387">
        <w:t>a short conclusion wrapping up the outcome of the evaluation.</w:t>
      </w:r>
      <w:r w:rsidRPr="00C05870">
        <w:rPr>
          <w:rFonts w:ascii="Times New Roman" w:hAnsi="Times New Roman" w:cs="Times New Roman"/>
          <w:sz w:val="24"/>
          <w:szCs w:val="24"/>
          <w:lang w:eastAsia="ja-JP"/>
        </w:rPr>
        <w:t xml:space="preserve"> </w:t>
      </w:r>
    </w:p>
    <w:p w14:paraId="251F9667" w14:textId="77777777" w:rsidR="00810973" w:rsidRPr="004D597C" w:rsidRDefault="00810973" w:rsidP="006100B7">
      <w:pPr>
        <w:tabs>
          <w:tab w:val="left" w:pos="284"/>
          <w:tab w:val="left" w:pos="567"/>
        </w:tabs>
        <w:spacing w:after="0"/>
      </w:pPr>
    </w:p>
    <w:p w14:paraId="47D9A10B" w14:textId="26EF1831" w:rsidR="002D6D4D" w:rsidRPr="004D597C" w:rsidRDefault="00B82F81" w:rsidP="008B7A86">
      <w:pPr>
        <w:rPr>
          <w:b/>
        </w:rPr>
      </w:pPr>
      <w:r>
        <w:rPr>
          <w:b/>
        </w:rPr>
        <w:t xml:space="preserve">7. </w:t>
      </w:r>
      <w:r w:rsidR="008B7A86" w:rsidRPr="004D597C">
        <w:rPr>
          <w:b/>
        </w:rPr>
        <w:t>References</w:t>
      </w:r>
    </w:p>
    <w:p w14:paraId="0304029C" w14:textId="77777777" w:rsidR="006341D3" w:rsidRPr="004D597C" w:rsidRDefault="006341D3" w:rsidP="006341D3">
      <w:pPr>
        <w:rPr>
          <w:i/>
        </w:rPr>
      </w:pPr>
      <w:r w:rsidRPr="004D597C">
        <w:rPr>
          <w:i/>
        </w:rPr>
        <w:t>(See OECD style guide third edition, p.56 “Bibliographical referencing: Sources and citations”)</w:t>
      </w:r>
    </w:p>
    <w:p w14:paraId="4BE4C575" w14:textId="21F12262" w:rsidR="00DE3306" w:rsidRPr="004D597C" w:rsidRDefault="00E320A4">
      <w:pPr>
        <w:rPr>
          <w:b/>
        </w:rPr>
      </w:pPr>
      <w:r w:rsidRPr="004D597C">
        <w:rPr>
          <w:b/>
        </w:rPr>
        <w:t>Annex</w:t>
      </w:r>
    </w:p>
    <w:p w14:paraId="4ED345C9" w14:textId="3CFE2759" w:rsidR="007932B5" w:rsidRPr="00132387" w:rsidRDefault="007932B5" w:rsidP="00912751">
      <w:pPr>
        <w:pStyle w:val="ListParagraph"/>
        <w:numPr>
          <w:ilvl w:val="0"/>
          <w:numId w:val="17"/>
        </w:numPr>
        <w:spacing w:after="0" w:line="240" w:lineRule="auto"/>
        <w:ind w:left="426" w:hanging="357"/>
        <w:contextualSpacing w:val="0"/>
      </w:pPr>
      <w:r w:rsidRPr="00132387">
        <w:t>Author can include supplement</w:t>
      </w:r>
      <w:r w:rsidR="00587AC5" w:rsidRPr="00132387">
        <w:t>al</w:t>
      </w:r>
      <w:r w:rsidRPr="00132387">
        <w:t xml:space="preserve"> or background data in an Annex in order to increase readability of case study if the data supports a particular aspect of the case study</w:t>
      </w:r>
      <w:r w:rsidR="000415FF" w:rsidRPr="00132387">
        <w:t xml:space="preserve">. The below table is an example of a summary table for </w:t>
      </w:r>
      <w:r w:rsidR="000415FF" w:rsidRPr="00132387">
        <w:rPr>
          <w:i/>
        </w:rPr>
        <w:t>in vivo</w:t>
      </w:r>
      <w:r w:rsidR="000415FF" w:rsidRPr="00132387">
        <w:t xml:space="preserve"> data</w:t>
      </w:r>
      <w:r w:rsidR="00DD5733" w:rsidRPr="00132387">
        <w:t xml:space="preserve"> (Reference </w:t>
      </w:r>
      <w:r w:rsidR="00A25C69" w:rsidRPr="00132387">
        <w:t>to</w:t>
      </w:r>
      <w:r w:rsidR="00DD5733" w:rsidRPr="00132387">
        <w:t xml:space="preserve"> </w:t>
      </w:r>
      <w:r w:rsidR="00A25C69" w:rsidRPr="00132387">
        <w:t xml:space="preserve">Annex I </w:t>
      </w:r>
      <w:r w:rsidR="00BB48E8" w:rsidRPr="00132387">
        <w:t xml:space="preserve">and II </w:t>
      </w:r>
      <w:r w:rsidR="00A25C69" w:rsidRPr="00132387">
        <w:t>in Case Study 2018-1 (</w:t>
      </w:r>
      <w:hyperlink r:id="rId68" w:history="1">
        <w:r w:rsidR="00A25C69" w:rsidRPr="00952B38">
          <w:rPr>
            <w:rStyle w:val="Hyperlink"/>
          </w:rPr>
          <w:t>OECD, 2019a</w:t>
        </w:r>
      </w:hyperlink>
      <w:r w:rsidR="00A25C69" w:rsidRPr="00132387">
        <w:t xml:space="preserve">); Annex IV in </w:t>
      </w:r>
      <w:r w:rsidR="00DD5733" w:rsidRPr="00132387">
        <w:t>Case Study 2019-4</w:t>
      </w:r>
      <w:r w:rsidR="00A25C69" w:rsidRPr="00132387">
        <w:t xml:space="preserve"> (</w:t>
      </w:r>
      <w:hyperlink r:id="rId69" w:history="1">
        <w:r w:rsidR="00A25C69" w:rsidRPr="00952B38">
          <w:rPr>
            <w:rStyle w:val="Hyperlink"/>
          </w:rPr>
          <w:t>OECD, 2020a</w:t>
        </w:r>
      </w:hyperlink>
      <w:r w:rsidR="00A25C69" w:rsidRPr="00132387">
        <w:t>)</w:t>
      </w:r>
      <w:r w:rsidR="00DD5733" w:rsidRPr="00132387">
        <w:t>)</w:t>
      </w:r>
      <w:r w:rsidR="000415FF" w:rsidRPr="00132387">
        <w:t>.</w:t>
      </w:r>
    </w:p>
    <w:p w14:paraId="19D22035" w14:textId="41723141" w:rsidR="000415FF" w:rsidRPr="00C05870" w:rsidRDefault="000415FF" w:rsidP="004B76B5">
      <w:pPr>
        <w:pStyle w:val="ListParagraph"/>
        <w:spacing w:after="0" w:line="240" w:lineRule="auto"/>
        <w:ind w:left="714"/>
        <w:contextualSpacing w:val="0"/>
        <w:rPr>
          <w:color w:val="1F497D"/>
        </w:rPr>
      </w:pPr>
    </w:p>
    <w:tbl>
      <w:tblPr>
        <w:tblStyle w:val="TableGrid"/>
        <w:tblW w:w="0" w:type="auto"/>
        <w:tblInd w:w="0" w:type="dxa"/>
        <w:tblLayout w:type="fixed"/>
        <w:tblLook w:val="04A0" w:firstRow="1" w:lastRow="0" w:firstColumn="1" w:lastColumn="0" w:noHBand="0" w:noVBand="1"/>
      </w:tblPr>
      <w:tblGrid>
        <w:gridCol w:w="2547"/>
        <w:gridCol w:w="5948"/>
      </w:tblGrid>
      <w:tr w:rsidR="000415FF" w:rsidRPr="00B82F81" w14:paraId="2A52FD91" w14:textId="77777777" w:rsidTr="00132387">
        <w:tc>
          <w:tcPr>
            <w:tcW w:w="2547" w:type="dxa"/>
            <w:tcBorders>
              <w:top w:val="single" w:sz="4" w:space="0" w:color="auto"/>
              <w:left w:val="single" w:sz="4" w:space="0" w:color="auto"/>
              <w:bottom w:val="single" w:sz="4" w:space="0" w:color="auto"/>
              <w:right w:val="single" w:sz="4" w:space="0" w:color="auto"/>
            </w:tcBorders>
            <w:hideMark/>
          </w:tcPr>
          <w:p w14:paraId="2183CD38" w14:textId="77777777" w:rsidR="000415FF" w:rsidRPr="00132387" w:rsidRDefault="000415FF">
            <w:pPr>
              <w:tabs>
                <w:tab w:val="left" w:pos="750"/>
              </w:tabs>
              <w:spacing w:line="240" w:lineRule="exact"/>
              <w:rPr>
                <w:rFonts w:cs="Segoe UI"/>
                <w:b/>
                <w:sz w:val="18"/>
                <w:szCs w:val="17"/>
                <w:lang w:val="en-GB"/>
              </w:rPr>
            </w:pPr>
            <w:r w:rsidRPr="00F06098">
              <w:rPr>
                <w:rFonts w:eastAsia="PMingLiU" w:cs="Segoe UI"/>
                <w:b/>
                <w:sz w:val="18"/>
                <w:szCs w:val="17"/>
                <w:lang w:eastAsia="zh-TW"/>
              </w:rPr>
              <w:t>References</w:t>
            </w:r>
          </w:p>
        </w:tc>
        <w:tc>
          <w:tcPr>
            <w:tcW w:w="5948" w:type="dxa"/>
            <w:tcBorders>
              <w:top w:val="single" w:sz="4" w:space="0" w:color="auto"/>
              <w:left w:val="single" w:sz="4" w:space="0" w:color="auto"/>
              <w:bottom w:val="single" w:sz="4" w:space="0" w:color="auto"/>
              <w:right w:val="single" w:sz="4" w:space="0" w:color="auto"/>
            </w:tcBorders>
          </w:tcPr>
          <w:p w14:paraId="5864B3CF" w14:textId="03C0ED31" w:rsidR="000415FF" w:rsidRPr="00132387" w:rsidRDefault="000415FF">
            <w:pPr>
              <w:tabs>
                <w:tab w:val="left" w:pos="750"/>
              </w:tabs>
              <w:spacing w:line="240" w:lineRule="exact"/>
              <w:rPr>
                <w:rFonts w:cs="Segoe UI"/>
                <w:sz w:val="18"/>
                <w:szCs w:val="17"/>
                <w:lang w:val="en-GB"/>
              </w:rPr>
            </w:pPr>
          </w:p>
        </w:tc>
      </w:tr>
      <w:tr w:rsidR="000415FF" w:rsidRPr="00B82F81" w14:paraId="0B5BE978" w14:textId="77777777" w:rsidTr="00132387">
        <w:tc>
          <w:tcPr>
            <w:tcW w:w="2547" w:type="dxa"/>
            <w:tcBorders>
              <w:top w:val="single" w:sz="4" w:space="0" w:color="auto"/>
              <w:left w:val="single" w:sz="4" w:space="0" w:color="auto"/>
              <w:bottom w:val="single" w:sz="4" w:space="0" w:color="auto"/>
              <w:right w:val="single" w:sz="4" w:space="0" w:color="auto"/>
            </w:tcBorders>
            <w:hideMark/>
          </w:tcPr>
          <w:p w14:paraId="4CD676B2" w14:textId="77777777" w:rsidR="000415FF" w:rsidRPr="00132387" w:rsidRDefault="000415FF">
            <w:pPr>
              <w:tabs>
                <w:tab w:val="left" w:pos="750"/>
              </w:tabs>
              <w:spacing w:line="240" w:lineRule="exact"/>
              <w:rPr>
                <w:rFonts w:cs="Segoe UI"/>
                <w:b/>
                <w:sz w:val="18"/>
                <w:szCs w:val="17"/>
                <w:lang w:val="en-GB"/>
              </w:rPr>
            </w:pPr>
            <w:r w:rsidRPr="00F06098">
              <w:rPr>
                <w:rFonts w:eastAsia="PMingLiU" w:cs="Segoe UI"/>
                <w:b/>
                <w:sz w:val="18"/>
                <w:szCs w:val="17"/>
                <w:lang w:eastAsia="zh-TW"/>
              </w:rPr>
              <w:t>Species/strain</w:t>
            </w:r>
          </w:p>
        </w:tc>
        <w:tc>
          <w:tcPr>
            <w:tcW w:w="5948" w:type="dxa"/>
            <w:tcBorders>
              <w:top w:val="single" w:sz="4" w:space="0" w:color="auto"/>
              <w:left w:val="single" w:sz="4" w:space="0" w:color="auto"/>
              <w:bottom w:val="single" w:sz="4" w:space="0" w:color="auto"/>
              <w:right w:val="single" w:sz="4" w:space="0" w:color="auto"/>
            </w:tcBorders>
          </w:tcPr>
          <w:p w14:paraId="5A946E64" w14:textId="1B581944" w:rsidR="000415FF" w:rsidRPr="00132387" w:rsidRDefault="000415FF">
            <w:pPr>
              <w:tabs>
                <w:tab w:val="left" w:pos="750"/>
              </w:tabs>
              <w:spacing w:line="240" w:lineRule="exact"/>
              <w:rPr>
                <w:rFonts w:cs="Segoe UI"/>
                <w:sz w:val="18"/>
                <w:szCs w:val="17"/>
                <w:lang w:val="en-GB"/>
              </w:rPr>
            </w:pPr>
          </w:p>
        </w:tc>
      </w:tr>
      <w:tr w:rsidR="000415FF" w:rsidRPr="00B82F81" w14:paraId="1B794FB9" w14:textId="77777777" w:rsidTr="00132387">
        <w:tc>
          <w:tcPr>
            <w:tcW w:w="2547" w:type="dxa"/>
            <w:tcBorders>
              <w:top w:val="single" w:sz="4" w:space="0" w:color="auto"/>
              <w:left w:val="single" w:sz="4" w:space="0" w:color="auto"/>
              <w:bottom w:val="single" w:sz="4" w:space="0" w:color="auto"/>
              <w:right w:val="single" w:sz="4" w:space="0" w:color="auto"/>
            </w:tcBorders>
            <w:hideMark/>
          </w:tcPr>
          <w:p w14:paraId="60184CBA" w14:textId="77777777" w:rsidR="000415FF" w:rsidRPr="00132387" w:rsidRDefault="000415FF">
            <w:pPr>
              <w:tabs>
                <w:tab w:val="left" w:pos="750"/>
              </w:tabs>
              <w:spacing w:line="240" w:lineRule="exact"/>
              <w:rPr>
                <w:rFonts w:cs="Segoe UI"/>
                <w:b/>
                <w:sz w:val="18"/>
                <w:szCs w:val="17"/>
                <w:lang w:val="en-GB"/>
              </w:rPr>
            </w:pPr>
            <w:r w:rsidRPr="00F06098">
              <w:rPr>
                <w:rFonts w:eastAsia="PMingLiU" w:cs="Segoe UI"/>
                <w:b/>
                <w:sz w:val="18"/>
                <w:szCs w:val="17"/>
                <w:lang w:eastAsia="zh-TW"/>
              </w:rPr>
              <w:t>Sex</w:t>
            </w:r>
          </w:p>
        </w:tc>
        <w:tc>
          <w:tcPr>
            <w:tcW w:w="5948" w:type="dxa"/>
            <w:tcBorders>
              <w:top w:val="single" w:sz="4" w:space="0" w:color="auto"/>
              <w:left w:val="single" w:sz="4" w:space="0" w:color="auto"/>
              <w:bottom w:val="single" w:sz="4" w:space="0" w:color="auto"/>
              <w:right w:val="single" w:sz="4" w:space="0" w:color="auto"/>
            </w:tcBorders>
          </w:tcPr>
          <w:p w14:paraId="1F4454E3" w14:textId="1DCDFC7A" w:rsidR="000415FF" w:rsidRPr="00132387" w:rsidRDefault="000415FF">
            <w:pPr>
              <w:tabs>
                <w:tab w:val="left" w:pos="750"/>
              </w:tabs>
              <w:spacing w:line="240" w:lineRule="exact"/>
              <w:rPr>
                <w:rFonts w:cs="Segoe UI"/>
                <w:sz w:val="18"/>
                <w:szCs w:val="17"/>
                <w:lang w:val="en-GB"/>
              </w:rPr>
            </w:pPr>
          </w:p>
        </w:tc>
      </w:tr>
      <w:tr w:rsidR="000415FF" w:rsidRPr="00B82F81" w14:paraId="30B564D7" w14:textId="77777777" w:rsidTr="00132387">
        <w:tc>
          <w:tcPr>
            <w:tcW w:w="2547" w:type="dxa"/>
            <w:tcBorders>
              <w:top w:val="single" w:sz="4" w:space="0" w:color="auto"/>
              <w:left w:val="single" w:sz="4" w:space="0" w:color="auto"/>
              <w:bottom w:val="single" w:sz="4" w:space="0" w:color="auto"/>
              <w:right w:val="single" w:sz="4" w:space="0" w:color="auto"/>
            </w:tcBorders>
            <w:hideMark/>
          </w:tcPr>
          <w:p w14:paraId="17F43C15" w14:textId="77777777" w:rsidR="000415FF" w:rsidRPr="00132387" w:rsidRDefault="000415FF">
            <w:pPr>
              <w:tabs>
                <w:tab w:val="left" w:pos="750"/>
              </w:tabs>
              <w:spacing w:line="240" w:lineRule="exact"/>
              <w:rPr>
                <w:rFonts w:cs="Segoe UI"/>
                <w:b/>
                <w:sz w:val="18"/>
                <w:szCs w:val="17"/>
                <w:lang w:val="en-GB"/>
              </w:rPr>
            </w:pPr>
            <w:r w:rsidRPr="00F06098">
              <w:rPr>
                <w:rFonts w:eastAsia="PMingLiU" w:cs="Segoe UI"/>
                <w:b/>
                <w:sz w:val="18"/>
                <w:szCs w:val="17"/>
                <w:lang w:eastAsia="zh-TW"/>
              </w:rPr>
              <w:t>Route of admin.</w:t>
            </w:r>
          </w:p>
        </w:tc>
        <w:tc>
          <w:tcPr>
            <w:tcW w:w="5948" w:type="dxa"/>
            <w:tcBorders>
              <w:top w:val="single" w:sz="4" w:space="0" w:color="auto"/>
              <w:left w:val="single" w:sz="4" w:space="0" w:color="auto"/>
              <w:bottom w:val="single" w:sz="4" w:space="0" w:color="auto"/>
              <w:right w:val="single" w:sz="4" w:space="0" w:color="auto"/>
            </w:tcBorders>
          </w:tcPr>
          <w:p w14:paraId="0FB1BD3C" w14:textId="025BA5B2" w:rsidR="000415FF" w:rsidRPr="00132387" w:rsidRDefault="000415FF">
            <w:pPr>
              <w:tabs>
                <w:tab w:val="left" w:pos="750"/>
              </w:tabs>
              <w:spacing w:line="240" w:lineRule="exact"/>
              <w:rPr>
                <w:rFonts w:cs="Segoe UI"/>
                <w:sz w:val="18"/>
                <w:szCs w:val="17"/>
                <w:lang w:val="en-GB"/>
              </w:rPr>
            </w:pPr>
          </w:p>
        </w:tc>
      </w:tr>
      <w:tr w:rsidR="000415FF" w:rsidRPr="00B82F81" w14:paraId="78F8DB8E" w14:textId="77777777" w:rsidTr="00132387">
        <w:tc>
          <w:tcPr>
            <w:tcW w:w="2547" w:type="dxa"/>
            <w:tcBorders>
              <w:top w:val="single" w:sz="4" w:space="0" w:color="auto"/>
              <w:left w:val="single" w:sz="4" w:space="0" w:color="auto"/>
              <w:bottom w:val="single" w:sz="4" w:space="0" w:color="auto"/>
              <w:right w:val="single" w:sz="4" w:space="0" w:color="auto"/>
            </w:tcBorders>
            <w:hideMark/>
          </w:tcPr>
          <w:p w14:paraId="39EA4EDE" w14:textId="77777777" w:rsidR="000415FF" w:rsidRPr="00132387" w:rsidRDefault="000415FF">
            <w:pPr>
              <w:tabs>
                <w:tab w:val="left" w:pos="750"/>
              </w:tabs>
              <w:spacing w:line="240" w:lineRule="exact"/>
              <w:rPr>
                <w:rFonts w:cs="Segoe UI"/>
                <w:b/>
                <w:sz w:val="18"/>
                <w:szCs w:val="17"/>
                <w:lang w:val="en-GB"/>
              </w:rPr>
            </w:pPr>
            <w:r w:rsidRPr="00F06098">
              <w:rPr>
                <w:rFonts w:eastAsia="PMingLiU" w:cs="Segoe UI"/>
                <w:b/>
                <w:sz w:val="18"/>
                <w:szCs w:val="17"/>
                <w:lang w:eastAsia="zh-TW"/>
              </w:rPr>
              <w:t>Exposure period</w:t>
            </w:r>
          </w:p>
        </w:tc>
        <w:tc>
          <w:tcPr>
            <w:tcW w:w="5948" w:type="dxa"/>
            <w:tcBorders>
              <w:top w:val="single" w:sz="4" w:space="0" w:color="auto"/>
              <w:left w:val="single" w:sz="4" w:space="0" w:color="auto"/>
              <w:bottom w:val="single" w:sz="4" w:space="0" w:color="auto"/>
              <w:right w:val="single" w:sz="4" w:space="0" w:color="auto"/>
            </w:tcBorders>
          </w:tcPr>
          <w:p w14:paraId="6CE06E6A" w14:textId="10F05B2F" w:rsidR="000415FF" w:rsidRPr="00132387" w:rsidRDefault="000415FF">
            <w:pPr>
              <w:tabs>
                <w:tab w:val="left" w:pos="750"/>
              </w:tabs>
              <w:spacing w:line="240" w:lineRule="exact"/>
              <w:rPr>
                <w:rFonts w:cs="Segoe UI"/>
                <w:sz w:val="18"/>
                <w:szCs w:val="17"/>
                <w:lang w:val="en-GB"/>
              </w:rPr>
            </w:pPr>
          </w:p>
        </w:tc>
      </w:tr>
      <w:tr w:rsidR="000415FF" w:rsidRPr="00B82F81" w14:paraId="2DF6D8B3" w14:textId="77777777" w:rsidTr="00132387">
        <w:tc>
          <w:tcPr>
            <w:tcW w:w="2547" w:type="dxa"/>
            <w:tcBorders>
              <w:top w:val="single" w:sz="4" w:space="0" w:color="auto"/>
              <w:left w:val="single" w:sz="4" w:space="0" w:color="auto"/>
              <w:bottom w:val="single" w:sz="4" w:space="0" w:color="auto"/>
              <w:right w:val="single" w:sz="4" w:space="0" w:color="auto"/>
            </w:tcBorders>
            <w:hideMark/>
          </w:tcPr>
          <w:p w14:paraId="7E0BCAF2" w14:textId="77777777" w:rsidR="000415FF" w:rsidRPr="00132387" w:rsidRDefault="000415FF">
            <w:pPr>
              <w:tabs>
                <w:tab w:val="left" w:pos="750"/>
              </w:tabs>
              <w:spacing w:line="240" w:lineRule="exact"/>
              <w:rPr>
                <w:rFonts w:cs="Segoe UI"/>
                <w:b/>
                <w:sz w:val="18"/>
                <w:szCs w:val="17"/>
                <w:lang w:val="en-GB"/>
              </w:rPr>
            </w:pPr>
            <w:r w:rsidRPr="00F06098">
              <w:rPr>
                <w:rFonts w:eastAsia="PMingLiU" w:cs="Segoe UI"/>
                <w:b/>
                <w:sz w:val="18"/>
                <w:szCs w:val="17"/>
                <w:lang w:eastAsia="zh-TW"/>
              </w:rPr>
              <w:t>Doses</w:t>
            </w:r>
          </w:p>
        </w:tc>
        <w:tc>
          <w:tcPr>
            <w:tcW w:w="5948" w:type="dxa"/>
            <w:tcBorders>
              <w:top w:val="single" w:sz="4" w:space="0" w:color="auto"/>
              <w:left w:val="single" w:sz="4" w:space="0" w:color="auto"/>
              <w:bottom w:val="single" w:sz="4" w:space="0" w:color="auto"/>
              <w:right w:val="single" w:sz="4" w:space="0" w:color="auto"/>
            </w:tcBorders>
          </w:tcPr>
          <w:p w14:paraId="2575A991" w14:textId="6FE6D26C" w:rsidR="000415FF" w:rsidRPr="00132387" w:rsidRDefault="000415FF">
            <w:pPr>
              <w:tabs>
                <w:tab w:val="left" w:pos="750"/>
              </w:tabs>
              <w:spacing w:line="240" w:lineRule="exact"/>
              <w:rPr>
                <w:rFonts w:cs="Segoe UI"/>
                <w:sz w:val="18"/>
                <w:szCs w:val="17"/>
                <w:lang w:val="en-GB"/>
              </w:rPr>
            </w:pPr>
          </w:p>
        </w:tc>
      </w:tr>
      <w:tr w:rsidR="000415FF" w:rsidRPr="00B82F81" w14:paraId="622A0271" w14:textId="77777777" w:rsidTr="00132387">
        <w:tc>
          <w:tcPr>
            <w:tcW w:w="2547" w:type="dxa"/>
            <w:tcBorders>
              <w:top w:val="single" w:sz="4" w:space="0" w:color="auto"/>
              <w:left w:val="single" w:sz="4" w:space="0" w:color="auto"/>
              <w:bottom w:val="single" w:sz="4" w:space="0" w:color="auto"/>
              <w:right w:val="single" w:sz="4" w:space="0" w:color="auto"/>
            </w:tcBorders>
            <w:hideMark/>
          </w:tcPr>
          <w:p w14:paraId="71E40744" w14:textId="77777777" w:rsidR="000415FF" w:rsidRPr="00132387" w:rsidRDefault="000415FF">
            <w:pPr>
              <w:tabs>
                <w:tab w:val="left" w:pos="750"/>
              </w:tabs>
              <w:spacing w:line="240" w:lineRule="exact"/>
              <w:rPr>
                <w:rFonts w:cs="Segoe UI"/>
                <w:b/>
                <w:sz w:val="18"/>
                <w:szCs w:val="17"/>
                <w:lang w:val="en-GB"/>
              </w:rPr>
            </w:pPr>
            <w:r w:rsidRPr="00F06098">
              <w:rPr>
                <w:rFonts w:eastAsia="PMingLiU" w:cs="Segoe UI"/>
                <w:b/>
                <w:sz w:val="18"/>
                <w:szCs w:val="17"/>
                <w:lang w:eastAsia="zh-TW"/>
              </w:rPr>
              <w:t>GLP</w:t>
            </w:r>
          </w:p>
        </w:tc>
        <w:tc>
          <w:tcPr>
            <w:tcW w:w="5948" w:type="dxa"/>
            <w:tcBorders>
              <w:top w:val="single" w:sz="4" w:space="0" w:color="auto"/>
              <w:left w:val="single" w:sz="4" w:space="0" w:color="auto"/>
              <w:bottom w:val="single" w:sz="4" w:space="0" w:color="auto"/>
              <w:right w:val="single" w:sz="4" w:space="0" w:color="auto"/>
            </w:tcBorders>
          </w:tcPr>
          <w:p w14:paraId="53F7BD67" w14:textId="05235A7F" w:rsidR="000415FF" w:rsidRPr="00132387" w:rsidRDefault="000415FF">
            <w:pPr>
              <w:tabs>
                <w:tab w:val="left" w:pos="750"/>
              </w:tabs>
              <w:spacing w:line="240" w:lineRule="exact"/>
              <w:rPr>
                <w:rFonts w:cs="Segoe UI"/>
                <w:sz w:val="18"/>
                <w:szCs w:val="17"/>
                <w:lang w:val="en-GB"/>
              </w:rPr>
            </w:pPr>
          </w:p>
        </w:tc>
      </w:tr>
      <w:tr w:rsidR="000415FF" w:rsidRPr="00B82F81" w14:paraId="130C32B1" w14:textId="77777777" w:rsidTr="00132387">
        <w:tc>
          <w:tcPr>
            <w:tcW w:w="2547" w:type="dxa"/>
            <w:tcBorders>
              <w:top w:val="single" w:sz="4" w:space="0" w:color="auto"/>
              <w:left w:val="single" w:sz="4" w:space="0" w:color="auto"/>
              <w:bottom w:val="single" w:sz="4" w:space="0" w:color="auto"/>
              <w:right w:val="single" w:sz="4" w:space="0" w:color="auto"/>
            </w:tcBorders>
            <w:hideMark/>
          </w:tcPr>
          <w:p w14:paraId="00AC83B8" w14:textId="77777777" w:rsidR="000415FF" w:rsidRPr="00132387" w:rsidRDefault="000415FF">
            <w:pPr>
              <w:tabs>
                <w:tab w:val="left" w:pos="750"/>
              </w:tabs>
              <w:spacing w:line="240" w:lineRule="exact"/>
              <w:rPr>
                <w:rFonts w:cs="Segoe UI"/>
                <w:b/>
                <w:sz w:val="18"/>
                <w:szCs w:val="17"/>
                <w:lang w:val="en-GB"/>
              </w:rPr>
            </w:pPr>
            <w:r w:rsidRPr="00F06098">
              <w:rPr>
                <w:rFonts w:eastAsia="PMingLiU" w:cs="Segoe UI"/>
                <w:b/>
                <w:sz w:val="18"/>
                <w:szCs w:val="17"/>
                <w:lang w:eastAsia="zh-TW"/>
              </w:rPr>
              <w:t>Test substance</w:t>
            </w:r>
          </w:p>
        </w:tc>
        <w:tc>
          <w:tcPr>
            <w:tcW w:w="5948" w:type="dxa"/>
            <w:tcBorders>
              <w:top w:val="single" w:sz="4" w:space="0" w:color="auto"/>
              <w:left w:val="single" w:sz="4" w:space="0" w:color="auto"/>
              <w:bottom w:val="single" w:sz="4" w:space="0" w:color="auto"/>
              <w:right w:val="single" w:sz="4" w:space="0" w:color="auto"/>
            </w:tcBorders>
          </w:tcPr>
          <w:p w14:paraId="7545D513" w14:textId="385364EC" w:rsidR="000415FF" w:rsidRPr="00132387" w:rsidRDefault="000415FF">
            <w:pPr>
              <w:tabs>
                <w:tab w:val="left" w:pos="750"/>
              </w:tabs>
              <w:spacing w:line="240" w:lineRule="exact"/>
              <w:rPr>
                <w:rFonts w:cs="Segoe UI"/>
                <w:sz w:val="18"/>
                <w:szCs w:val="17"/>
                <w:lang w:val="en-GB"/>
              </w:rPr>
            </w:pPr>
          </w:p>
        </w:tc>
      </w:tr>
      <w:tr w:rsidR="000415FF" w:rsidRPr="00B82F81" w14:paraId="7AE92536" w14:textId="77777777" w:rsidTr="00132387">
        <w:tc>
          <w:tcPr>
            <w:tcW w:w="2547" w:type="dxa"/>
            <w:tcBorders>
              <w:top w:val="single" w:sz="4" w:space="0" w:color="auto"/>
              <w:left w:val="single" w:sz="4" w:space="0" w:color="auto"/>
              <w:bottom w:val="single" w:sz="4" w:space="0" w:color="auto"/>
              <w:right w:val="single" w:sz="4" w:space="0" w:color="auto"/>
            </w:tcBorders>
            <w:hideMark/>
          </w:tcPr>
          <w:p w14:paraId="560167D2" w14:textId="77777777" w:rsidR="000415FF" w:rsidRPr="00132387" w:rsidRDefault="000415FF">
            <w:pPr>
              <w:tabs>
                <w:tab w:val="left" w:pos="750"/>
              </w:tabs>
              <w:spacing w:line="240" w:lineRule="exact"/>
              <w:rPr>
                <w:rFonts w:cs="Segoe UI"/>
                <w:b/>
                <w:sz w:val="18"/>
                <w:szCs w:val="17"/>
                <w:lang w:val="en-GB"/>
              </w:rPr>
            </w:pPr>
            <w:r w:rsidRPr="00F06098">
              <w:rPr>
                <w:rFonts w:eastAsia="PMingLiU" w:cs="Segoe UI"/>
                <w:b/>
                <w:sz w:val="18"/>
                <w:szCs w:val="17"/>
                <w:lang w:eastAsia="zh-TW"/>
              </w:rPr>
              <w:t>NOAEL</w:t>
            </w:r>
          </w:p>
        </w:tc>
        <w:tc>
          <w:tcPr>
            <w:tcW w:w="5948" w:type="dxa"/>
            <w:tcBorders>
              <w:top w:val="single" w:sz="4" w:space="0" w:color="auto"/>
              <w:left w:val="single" w:sz="4" w:space="0" w:color="auto"/>
              <w:bottom w:val="single" w:sz="4" w:space="0" w:color="auto"/>
              <w:right w:val="single" w:sz="4" w:space="0" w:color="auto"/>
            </w:tcBorders>
          </w:tcPr>
          <w:p w14:paraId="0EF8D3FC" w14:textId="725380B5" w:rsidR="000415FF" w:rsidRPr="00132387" w:rsidRDefault="000415FF">
            <w:pPr>
              <w:tabs>
                <w:tab w:val="left" w:pos="750"/>
              </w:tabs>
              <w:spacing w:line="240" w:lineRule="exact"/>
              <w:rPr>
                <w:rFonts w:cs="Segoe UI"/>
                <w:sz w:val="18"/>
                <w:szCs w:val="17"/>
                <w:lang w:val="en-GB"/>
              </w:rPr>
            </w:pPr>
          </w:p>
        </w:tc>
      </w:tr>
      <w:tr w:rsidR="000415FF" w:rsidRPr="00B82F81" w14:paraId="0F00DC68" w14:textId="77777777" w:rsidTr="00132387">
        <w:tc>
          <w:tcPr>
            <w:tcW w:w="2547" w:type="dxa"/>
            <w:tcBorders>
              <w:top w:val="single" w:sz="4" w:space="0" w:color="auto"/>
              <w:left w:val="single" w:sz="4" w:space="0" w:color="auto"/>
              <w:bottom w:val="single" w:sz="4" w:space="0" w:color="auto"/>
              <w:right w:val="single" w:sz="4" w:space="0" w:color="auto"/>
            </w:tcBorders>
            <w:hideMark/>
          </w:tcPr>
          <w:p w14:paraId="5D45916F" w14:textId="77777777" w:rsidR="000415FF" w:rsidRPr="00132387" w:rsidRDefault="000415FF">
            <w:pPr>
              <w:tabs>
                <w:tab w:val="left" w:pos="750"/>
              </w:tabs>
              <w:spacing w:line="240" w:lineRule="exact"/>
              <w:rPr>
                <w:rFonts w:cs="Segoe UI"/>
                <w:b/>
                <w:sz w:val="18"/>
                <w:szCs w:val="17"/>
                <w:lang w:val="en-GB"/>
              </w:rPr>
            </w:pPr>
            <w:r w:rsidRPr="00F06098">
              <w:rPr>
                <w:rFonts w:eastAsia="PMingLiU" w:cs="Segoe UI"/>
                <w:b/>
                <w:sz w:val="18"/>
                <w:szCs w:val="17"/>
                <w:lang w:eastAsia="zh-TW"/>
              </w:rPr>
              <w:t>Result</w:t>
            </w:r>
          </w:p>
        </w:tc>
        <w:tc>
          <w:tcPr>
            <w:tcW w:w="5948" w:type="dxa"/>
            <w:tcBorders>
              <w:top w:val="single" w:sz="4" w:space="0" w:color="auto"/>
              <w:left w:val="single" w:sz="4" w:space="0" w:color="auto"/>
              <w:bottom w:val="single" w:sz="4" w:space="0" w:color="auto"/>
              <w:right w:val="single" w:sz="4" w:space="0" w:color="auto"/>
            </w:tcBorders>
          </w:tcPr>
          <w:p w14:paraId="2B239466" w14:textId="2E27D15A" w:rsidR="000415FF" w:rsidRPr="00132387" w:rsidRDefault="000415FF">
            <w:pPr>
              <w:tabs>
                <w:tab w:val="left" w:pos="750"/>
              </w:tabs>
              <w:spacing w:line="240" w:lineRule="exact"/>
              <w:rPr>
                <w:rFonts w:cs="Segoe UI"/>
                <w:sz w:val="18"/>
                <w:szCs w:val="17"/>
                <w:lang w:val="en-GB"/>
              </w:rPr>
            </w:pPr>
          </w:p>
        </w:tc>
      </w:tr>
      <w:tr w:rsidR="000415FF" w:rsidRPr="00B82F81" w14:paraId="1297C9B0" w14:textId="77777777" w:rsidTr="00132387">
        <w:tc>
          <w:tcPr>
            <w:tcW w:w="2547" w:type="dxa"/>
            <w:tcBorders>
              <w:top w:val="single" w:sz="4" w:space="0" w:color="auto"/>
              <w:left w:val="single" w:sz="4" w:space="0" w:color="auto"/>
              <w:bottom w:val="single" w:sz="4" w:space="0" w:color="auto"/>
              <w:right w:val="single" w:sz="4" w:space="0" w:color="auto"/>
            </w:tcBorders>
            <w:hideMark/>
          </w:tcPr>
          <w:p w14:paraId="2F1442F8" w14:textId="77777777" w:rsidR="000415FF" w:rsidRPr="00132387" w:rsidRDefault="000415FF">
            <w:pPr>
              <w:tabs>
                <w:tab w:val="left" w:pos="750"/>
              </w:tabs>
              <w:spacing w:line="240" w:lineRule="exact"/>
              <w:rPr>
                <w:rFonts w:cs="Segoe UI"/>
                <w:b/>
                <w:sz w:val="18"/>
                <w:szCs w:val="17"/>
                <w:lang w:val="en-GB"/>
              </w:rPr>
            </w:pPr>
            <w:r w:rsidRPr="00F06098">
              <w:rPr>
                <w:rFonts w:eastAsia="PMingLiU" w:cs="Segoe UI"/>
                <w:b/>
                <w:sz w:val="18"/>
                <w:szCs w:val="17"/>
                <w:lang w:eastAsia="zh-TW"/>
              </w:rPr>
              <w:t>Other findings</w:t>
            </w:r>
          </w:p>
        </w:tc>
        <w:tc>
          <w:tcPr>
            <w:tcW w:w="5948" w:type="dxa"/>
            <w:tcBorders>
              <w:top w:val="single" w:sz="4" w:space="0" w:color="auto"/>
              <w:left w:val="single" w:sz="4" w:space="0" w:color="auto"/>
              <w:bottom w:val="single" w:sz="4" w:space="0" w:color="auto"/>
              <w:right w:val="single" w:sz="4" w:space="0" w:color="auto"/>
            </w:tcBorders>
          </w:tcPr>
          <w:p w14:paraId="3759FEFC" w14:textId="48973C31" w:rsidR="000415FF" w:rsidRPr="00132387" w:rsidRDefault="000415FF">
            <w:pPr>
              <w:tabs>
                <w:tab w:val="left" w:pos="750"/>
              </w:tabs>
              <w:spacing w:line="240" w:lineRule="exact"/>
              <w:rPr>
                <w:rFonts w:cs="Segoe UI"/>
                <w:sz w:val="18"/>
                <w:szCs w:val="17"/>
                <w:lang w:val="en-GB"/>
              </w:rPr>
            </w:pPr>
          </w:p>
        </w:tc>
      </w:tr>
    </w:tbl>
    <w:p w14:paraId="54D858FD" w14:textId="250B0C95" w:rsidR="000415FF" w:rsidRPr="00B82F81" w:rsidRDefault="000415FF" w:rsidP="004B76B5">
      <w:pPr>
        <w:pStyle w:val="ListParagraph"/>
        <w:spacing w:after="0" w:line="240" w:lineRule="auto"/>
        <w:ind w:left="714"/>
        <w:contextualSpacing w:val="0"/>
        <w:rPr>
          <w:color w:val="1F497D"/>
        </w:rPr>
      </w:pPr>
    </w:p>
    <w:p w14:paraId="33EE687A" w14:textId="77777777" w:rsidR="000415FF" w:rsidRPr="00B82F81" w:rsidRDefault="000415FF">
      <w:pPr>
        <w:pStyle w:val="ListParagraph"/>
        <w:spacing w:after="0" w:line="240" w:lineRule="auto"/>
        <w:ind w:left="714"/>
        <w:contextualSpacing w:val="0"/>
        <w:rPr>
          <w:color w:val="1F497D"/>
        </w:rPr>
      </w:pPr>
    </w:p>
    <w:p w14:paraId="3E73A987" w14:textId="29AE73F5" w:rsidR="0068245D" w:rsidRPr="00C05870" w:rsidRDefault="007932B5" w:rsidP="00132387">
      <w:pPr>
        <w:pStyle w:val="ListParagraph"/>
        <w:numPr>
          <w:ilvl w:val="0"/>
          <w:numId w:val="17"/>
        </w:numPr>
        <w:spacing w:after="0" w:line="240" w:lineRule="auto"/>
        <w:ind w:left="426" w:hanging="357"/>
        <w:contextualSpacing w:val="0"/>
      </w:pPr>
      <w:r w:rsidRPr="00132387">
        <w:t>Author can provide a summary of methods</w:t>
      </w:r>
      <w:r w:rsidR="0068245D" w:rsidRPr="00132387">
        <w:t xml:space="preserve"> and tools</w:t>
      </w:r>
      <w:r w:rsidRPr="00132387">
        <w:t xml:space="preserve"> used in the case study, that a regulator may </w:t>
      </w:r>
      <w:r w:rsidR="00531AB8" w:rsidRPr="00132387">
        <w:t>be</w:t>
      </w:r>
      <w:r w:rsidRPr="00132387">
        <w:t xml:space="preserve"> less familiar with, such as an </w:t>
      </w:r>
      <w:r w:rsidRPr="00132387">
        <w:rPr>
          <w:i/>
        </w:rPr>
        <w:t>in vitro</w:t>
      </w:r>
      <w:r w:rsidRPr="00132387">
        <w:t xml:space="preserve"> method, </w:t>
      </w:r>
      <w:r w:rsidRPr="00132387">
        <w:rPr>
          <w:i/>
        </w:rPr>
        <w:t>in silico</w:t>
      </w:r>
      <w:r w:rsidRPr="00132387">
        <w:t xml:space="preserve"> (QSAR) model or high throughput assay; or provide links to references of these methods for further information in order to increase readability of case study</w:t>
      </w:r>
      <w:r w:rsidR="00531AB8" w:rsidRPr="00132387">
        <w:t>. The description should be sufficient for an expert, which a regulator may consult to get approval and better understanding of the methodology.</w:t>
      </w:r>
    </w:p>
    <w:p w14:paraId="3AC0D8F4" w14:textId="77777777" w:rsidR="00594E34" w:rsidRPr="004D597C" w:rsidRDefault="00594E34">
      <w:pPr>
        <w:rPr>
          <w:b/>
        </w:rPr>
      </w:pPr>
    </w:p>
    <w:p w14:paraId="2277E87C" w14:textId="77777777" w:rsidR="00DE3306" w:rsidRPr="004D597C" w:rsidRDefault="00DE3306">
      <w:pPr>
        <w:rPr>
          <w:b/>
        </w:rPr>
      </w:pPr>
      <w:r w:rsidRPr="004D597C">
        <w:rPr>
          <w:b/>
        </w:rPr>
        <w:br w:type="page"/>
      </w:r>
    </w:p>
    <w:p w14:paraId="6D1E9265" w14:textId="77777777" w:rsidR="00DE3306" w:rsidRPr="00C05870" w:rsidRDefault="00DE3306" w:rsidP="00DE3306">
      <w:pPr>
        <w:rPr>
          <w:b/>
        </w:rPr>
      </w:pPr>
      <w:r w:rsidRPr="004D597C">
        <w:rPr>
          <w:b/>
        </w:rPr>
        <w:lastRenderedPageBreak/>
        <w:t>References</w:t>
      </w:r>
    </w:p>
    <w:p w14:paraId="066590DA" w14:textId="5F53505E" w:rsidR="00115B3C" w:rsidRPr="00C05870" w:rsidRDefault="00115B3C" w:rsidP="008F3C30">
      <w:r w:rsidRPr="004D597C">
        <w:t xml:space="preserve">EFSA (2018a), Guidance on Uncertainty Analysis in Scientiﬁc Assessments, EFSA Journal 2018;16(1):5123, </w:t>
      </w:r>
      <w:r w:rsidR="00EA2259" w:rsidRPr="004D597C">
        <w:t>39</w:t>
      </w:r>
      <w:r w:rsidRPr="004D597C">
        <w:t xml:space="preserve"> pp. </w:t>
      </w:r>
      <w:hyperlink r:id="rId70" w:history="1">
        <w:r w:rsidR="00EA2259" w:rsidRPr="00C05870">
          <w:rPr>
            <w:rStyle w:val="Hyperlink"/>
          </w:rPr>
          <w:t>https://doi.org/10.2903/j.efsa.2018.5123</w:t>
        </w:r>
      </w:hyperlink>
      <w:r w:rsidR="00EA2259" w:rsidRPr="00C05870">
        <w:t xml:space="preserve"> </w:t>
      </w:r>
    </w:p>
    <w:p w14:paraId="7402FBAF" w14:textId="6B06CBEE" w:rsidR="00115B3C" w:rsidRPr="00C05870" w:rsidRDefault="00AA000E" w:rsidP="008F3C30">
      <w:r w:rsidRPr="004D597C">
        <w:t xml:space="preserve">EFSA (2018b) Principles and methods behind EFSA’s Guidance on Uncertainty Analysis in Scientiﬁc Assessment. EFSA Journal 2018;16(1):5122, 282 pp. </w:t>
      </w:r>
      <w:hyperlink r:id="rId71" w:history="1">
        <w:r w:rsidR="00EA2259" w:rsidRPr="00132387">
          <w:rPr>
            <w:rStyle w:val="Hyperlink"/>
          </w:rPr>
          <w:t>https://doi.org/10.2903/j.efsa.2018.5122</w:t>
        </w:r>
      </w:hyperlink>
      <w:r w:rsidR="00EA2259" w:rsidRPr="00132387">
        <w:t xml:space="preserve"> </w:t>
      </w:r>
    </w:p>
    <w:p w14:paraId="00958590" w14:textId="4B22856D" w:rsidR="008F3C30" w:rsidRPr="004D597C" w:rsidRDefault="008F3C30" w:rsidP="008F3C30">
      <w:r w:rsidRPr="004D597C">
        <w:t>EU-ToxRisk (2018), Recommendations of the EU-ToxRisk Regulatory Advisory Board (RAB) on how to document case studies for regulatory evaluation</w:t>
      </w:r>
    </w:p>
    <w:p w14:paraId="725EDDF8" w14:textId="2B94A548" w:rsidR="00CB41D8" w:rsidRPr="009B4A6A" w:rsidRDefault="00CB41D8" w:rsidP="00DE3306">
      <w:r w:rsidRPr="009B4A6A">
        <w:t>OECD (2014a), Guidance on Grouping of Chemicals, Second Edition, Series on Testing &amp; Assessment No. 194, ENV/JM/MONO(2014)4, OECD, Paris.</w:t>
      </w:r>
    </w:p>
    <w:p w14:paraId="48E3131E" w14:textId="75F27AD3" w:rsidR="00DE3306" w:rsidRPr="00B82F81" w:rsidRDefault="00DE3306" w:rsidP="00DE3306">
      <w:r w:rsidRPr="00B82F81">
        <w:t>OECD (2014</w:t>
      </w:r>
      <w:r w:rsidR="00CB41D8" w:rsidRPr="00B82F81">
        <w:t>b</w:t>
      </w:r>
      <w:r w:rsidRPr="00B82F81">
        <w:t xml:space="preserve">), Guidance Document for Describing Non-Guideline </w:t>
      </w:r>
      <w:r w:rsidRPr="00B82F81">
        <w:rPr>
          <w:i/>
        </w:rPr>
        <w:t>In Vitro</w:t>
      </w:r>
      <w:r w:rsidRPr="00B82F81">
        <w:t xml:space="preserve"> Test Methods, Series on Testing and Assessment No. 211, ENV/JM/MONO(2014)35, OECD, Paris.</w:t>
      </w:r>
    </w:p>
    <w:p w14:paraId="46A91932" w14:textId="51EEB5DA" w:rsidR="004860C4" w:rsidRPr="00320B41" w:rsidRDefault="004860C4" w:rsidP="004860C4">
      <w:r>
        <w:t>OECD (2016</w:t>
      </w:r>
      <w:r>
        <w:rPr>
          <w:rFonts w:eastAsia="MS Mincho"/>
          <w:lang w:eastAsia="ja-JP"/>
        </w:rPr>
        <w:t>a</w:t>
      </w:r>
      <w:r w:rsidRPr="00320B41">
        <w:t xml:space="preserve">), </w:t>
      </w:r>
      <w:r>
        <w:rPr>
          <w:rFonts w:eastAsia="MS Mincho" w:hint="eastAsia"/>
          <w:lang w:eastAsia="ja-JP"/>
        </w:rPr>
        <w:t xml:space="preserve">Case study on the Use of </w:t>
      </w:r>
      <w:r w:rsidRPr="00320B41">
        <w:t>Integrated Approaches to Testing and Assessment</w:t>
      </w:r>
      <w:r>
        <w:rPr>
          <w:rFonts w:eastAsia="MS Mincho" w:hint="eastAsia"/>
          <w:lang w:eastAsia="ja-JP"/>
        </w:rPr>
        <w:t xml:space="preserve"> for </w:t>
      </w:r>
      <w:r w:rsidRPr="00A11E50">
        <w:rPr>
          <w:rFonts w:eastAsia="MS Mincho" w:hint="eastAsia"/>
          <w:i/>
          <w:lang w:eastAsia="ja-JP"/>
        </w:rPr>
        <w:t>in vitro</w:t>
      </w:r>
      <w:r>
        <w:rPr>
          <w:rFonts w:eastAsia="MS Mincho" w:hint="eastAsia"/>
          <w:lang w:eastAsia="ja-JP"/>
        </w:rPr>
        <w:t xml:space="preserve"> Mutagenicity of 3,3</w:t>
      </w:r>
      <w:r>
        <w:rPr>
          <w:rFonts w:eastAsia="MS Mincho"/>
          <w:lang w:eastAsia="ja-JP"/>
        </w:rPr>
        <w:t>’</w:t>
      </w:r>
      <w:r>
        <w:rPr>
          <w:rFonts w:eastAsia="MS Mincho" w:hint="eastAsia"/>
          <w:lang w:eastAsia="ja-JP"/>
        </w:rPr>
        <w:t xml:space="preserve"> Dimethoxybenzidine (DMOB)</w:t>
      </w:r>
      <w:r w:rsidRPr="00320B41">
        <w:t xml:space="preserve"> </w:t>
      </w:r>
      <w:r>
        <w:rPr>
          <w:rFonts w:eastAsia="MS Mincho" w:hint="eastAsia"/>
          <w:lang w:eastAsia="ja-JP"/>
        </w:rPr>
        <w:t xml:space="preserve">Based Direct Dyes </w:t>
      </w:r>
      <w:r w:rsidRPr="00320B41">
        <w:t>No. 25</w:t>
      </w:r>
      <w:r>
        <w:rPr>
          <w:rFonts w:eastAsia="MS Mincho" w:hint="eastAsia"/>
          <w:lang w:eastAsia="ja-JP"/>
        </w:rPr>
        <w:t>1</w:t>
      </w:r>
      <w:r w:rsidRPr="00320B41">
        <w:t>, ENV/JM/MONO(2016)</w:t>
      </w:r>
      <w:r>
        <w:rPr>
          <w:rFonts w:eastAsia="MS Mincho" w:hint="eastAsia"/>
          <w:lang w:eastAsia="ja-JP"/>
        </w:rPr>
        <w:t>49</w:t>
      </w:r>
      <w:r w:rsidRPr="00320B41">
        <w:t>, OECD, Paris.</w:t>
      </w:r>
    </w:p>
    <w:p w14:paraId="5258C360" w14:textId="64D98270" w:rsidR="004860C4" w:rsidRDefault="004860C4" w:rsidP="00DE3306">
      <w:r w:rsidRPr="00320B41">
        <w:t>OECD (2016</w:t>
      </w:r>
      <w:r>
        <w:t>b</w:t>
      </w:r>
      <w:r w:rsidRPr="00320B41">
        <w:t xml:space="preserve">), </w:t>
      </w:r>
      <w:r>
        <w:rPr>
          <w:rFonts w:eastAsia="MS Mincho" w:hint="eastAsia"/>
          <w:lang w:eastAsia="ja-JP"/>
        </w:rPr>
        <w:t xml:space="preserve">Case study on the Use of </w:t>
      </w:r>
      <w:r w:rsidRPr="00320B41">
        <w:t>Integrated Approaches to Testing and Assessment</w:t>
      </w:r>
      <w:r>
        <w:rPr>
          <w:rFonts w:eastAsia="MS Mincho" w:hint="eastAsia"/>
          <w:lang w:eastAsia="ja-JP"/>
        </w:rPr>
        <w:t xml:space="preserve"> for Repeated Dose Toxicity of Substituted Diphenylamines (SDPA) </w:t>
      </w:r>
      <w:r w:rsidRPr="00320B41">
        <w:t>No. 25</w:t>
      </w:r>
      <w:r>
        <w:rPr>
          <w:rFonts w:eastAsia="MS Mincho" w:hint="eastAsia"/>
          <w:lang w:eastAsia="ja-JP"/>
        </w:rPr>
        <w:t>2</w:t>
      </w:r>
      <w:r w:rsidRPr="00320B41">
        <w:t>, ENV/JM/MONO(2016)</w:t>
      </w:r>
      <w:r>
        <w:rPr>
          <w:rFonts w:eastAsia="MS Mincho" w:hint="eastAsia"/>
          <w:lang w:eastAsia="ja-JP"/>
        </w:rPr>
        <w:t>50</w:t>
      </w:r>
      <w:r w:rsidRPr="00320B41">
        <w:t>, OECD, Paris.</w:t>
      </w:r>
    </w:p>
    <w:p w14:paraId="4A614B6D" w14:textId="24A34470" w:rsidR="00DE3306" w:rsidRPr="004860C4" w:rsidRDefault="00DE3306" w:rsidP="00DE3306">
      <w:r w:rsidRPr="004860C4">
        <w:t>OECD (2016</w:t>
      </w:r>
      <w:r w:rsidR="004860C4">
        <w:t>c</w:t>
      </w:r>
      <w:r w:rsidRPr="004860C4">
        <w:t>), Guidance Document on the Reporting of Defined Approaches to Be Used within Integrated Approaches to Testing and Assessment No. 255, ENV/JM/MONO(2016)28, OECD, Paris.</w:t>
      </w:r>
    </w:p>
    <w:p w14:paraId="11977329" w14:textId="26854CA3" w:rsidR="00DE3306" w:rsidRPr="00B82F81" w:rsidRDefault="00DE3306" w:rsidP="00DE3306">
      <w:r w:rsidRPr="004860C4">
        <w:t>OECD (2016</w:t>
      </w:r>
      <w:r w:rsidR="004860C4">
        <w:t>d</w:t>
      </w:r>
      <w:r w:rsidRPr="004860C4">
        <w:t>), Guidance Document on the Reporting of Defined Approaches and Individual Information Sources to Be Used within Integrated Approaches to Testing and Assessment (IATA) for Skin Sensitisation, Series on Testing and</w:t>
      </w:r>
      <w:r w:rsidRPr="00B82F81">
        <w:t xml:space="preserve"> Assessment No. 256, ENV/JM/MONO(2016)29, OECD, Paris.</w:t>
      </w:r>
    </w:p>
    <w:p w14:paraId="453EEB41" w14:textId="153F51E8" w:rsidR="00BE464A" w:rsidRDefault="00BE464A" w:rsidP="00DE3306">
      <w:r w:rsidRPr="00BE464A">
        <w:t>OECD (2016e), Guidance Document on the Reporting of Defined Approaches to Be Used within Integrated Approaches to Testing and Assessment No. 255, ENV/JM/MONO(2016)28, OECD, Paris.</w:t>
      </w:r>
    </w:p>
    <w:p w14:paraId="7A29A835" w14:textId="68A60C9E" w:rsidR="00DE3306" w:rsidRPr="00B82F81" w:rsidRDefault="00DE3306" w:rsidP="00DE3306">
      <w:r w:rsidRPr="00B82F81">
        <w:t>OECD (2016</w:t>
      </w:r>
      <w:r w:rsidR="004860C4">
        <w:t>f</w:t>
      </w:r>
      <w:r w:rsidRPr="004860C4">
        <w:t xml:space="preserve">), “Users' Handbook supplement to the Guidance Document for developing and </w:t>
      </w:r>
      <w:r w:rsidR="00EF3A3A" w:rsidRPr="00B82F81">
        <w:t xml:space="preserve">accessing Adverse Outcome </w:t>
      </w:r>
      <w:r w:rsidRPr="00B82F81">
        <w:t>Pathways”, OECD Seri</w:t>
      </w:r>
      <w:r w:rsidR="00EF3A3A" w:rsidRPr="00B82F81">
        <w:t>es on Adverse Outcome Pathways, No. 1, OECD Publishing, Paris</w:t>
      </w:r>
      <w:r w:rsidRPr="00B82F81">
        <w:t>.</w:t>
      </w:r>
    </w:p>
    <w:p w14:paraId="27143C4D" w14:textId="7E8809B9" w:rsidR="00C66234" w:rsidRPr="00B82F81" w:rsidRDefault="00C66234" w:rsidP="00DE3306">
      <w:r w:rsidRPr="00B82F81">
        <w:t>OECD (2017), Chemical Safety Assessment Workflow Based on Exposure Considerations and Non-animal Methods, Series on Testing and Assessment No. 275, ENV/JM/MONO(2017)27, OECD, Paris.</w:t>
      </w:r>
    </w:p>
    <w:p w14:paraId="10CDD555" w14:textId="14AF1EBA" w:rsidR="00EA2581" w:rsidRPr="00B82F81" w:rsidRDefault="00EA2581" w:rsidP="00DE3306">
      <w:r w:rsidRPr="00B82F81">
        <w:t>OECD (2018a), Case study on grouping and read-across for nanomaterials genotoxicity of nano-TiO2, Series on Testing and Assessment No. 292, ENV/JM/MONO(2018)28, OECD, Paris.</w:t>
      </w:r>
    </w:p>
    <w:p w14:paraId="51972337" w14:textId="5AD18E4D" w:rsidR="004F5F53" w:rsidRPr="00B82F81" w:rsidRDefault="004F5F53" w:rsidP="00DE3306">
      <w:r w:rsidRPr="00B82F81">
        <w:t>OECD (2018</w:t>
      </w:r>
      <w:r w:rsidR="00EA2581" w:rsidRPr="00B82F81">
        <w:t>b</w:t>
      </w:r>
      <w:r w:rsidRPr="00B82F81">
        <w:t>), Prioritization of chemicals using the Integrated Approaches for Testing and Assessment (IATA)-based Ecological Risk Classification, Series on Testing and Assessment No. 291, ENV/JM/MONO(2018)27, OECD, Paris.</w:t>
      </w:r>
    </w:p>
    <w:p w14:paraId="051A6DE3" w14:textId="344D0979" w:rsidR="00C66234" w:rsidRPr="00B82F81" w:rsidRDefault="00C66234" w:rsidP="00DE3306">
      <w:r w:rsidRPr="00B82F81">
        <w:lastRenderedPageBreak/>
        <w:t>OECD (2018</w:t>
      </w:r>
      <w:r w:rsidR="00EA2581" w:rsidRPr="00B82F81">
        <w:t>c</w:t>
      </w:r>
      <w:r w:rsidRPr="00B82F81">
        <w:t>), Case Study on the use of Integrated Approaches for Testing and Assessment (IATA) for Estrogenicity of the Substituted Phenols, Series on Testing and Assessment No. 290, ENV/JM/MONO(2018)26, OECD, Paris.</w:t>
      </w:r>
    </w:p>
    <w:p w14:paraId="7B7AC059" w14:textId="67106013" w:rsidR="00EA2581" w:rsidRPr="00B82F81" w:rsidRDefault="00C8646F" w:rsidP="00DE3306">
      <w:r w:rsidRPr="00B82F81">
        <w:t xml:space="preserve">OECD (2019a), </w:t>
      </w:r>
      <w:r w:rsidR="00EA2581" w:rsidRPr="00B82F81">
        <w:t>Case Study on the use of Integrated Approaches for Testing and Assessment for Testicular Toxicity of Ethylene Glycol Methyl Ether (EGME)-Related Chemicals, Series o</w:t>
      </w:r>
      <w:r w:rsidR="00D24543">
        <w:t>n Testing and Assessment No. 308</w:t>
      </w:r>
      <w:r w:rsidR="00EA2581" w:rsidRPr="00B82F81">
        <w:t>, ENV/JM/MONO(2019)27, OECD, Paris.</w:t>
      </w:r>
    </w:p>
    <w:p w14:paraId="3AA2F88F" w14:textId="182EEC6F" w:rsidR="00C8646F" w:rsidRPr="00B82F81" w:rsidRDefault="00EA2581" w:rsidP="00DE3306">
      <w:r w:rsidRPr="00B82F81">
        <w:t xml:space="preserve">OECD (2019b), </w:t>
      </w:r>
      <w:r w:rsidR="00C8646F" w:rsidRPr="00B82F81">
        <w:t>Case Study on the Use of an Integrated Approach to Testing and Assessment for Identifying Estrogen Receptor Active Chemicals, Series</w:t>
      </w:r>
      <w:r w:rsidR="00AB28B3" w:rsidRPr="00B82F81">
        <w:t xml:space="preserve"> on Testing and Assessment No. 3</w:t>
      </w:r>
      <w:r w:rsidR="00C0633D" w:rsidRPr="00B82F81">
        <w:t>11</w:t>
      </w:r>
      <w:r w:rsidR="00C8646F" w:rsidRPr="00B82F81">
        <w:t>, ENV/JM/MONO(201</w:t>
      </w:r>
      <w:r w:rsidR="00AB28B3" w:rsidRPr="00B82F81">
        <w:t>9</w:t>
      </w:r>
      <w:r w:rsidR="00C8646F" w:rsidRPr="00B82F81">
        <w:t>)</w:t>
      </w:r>
      <w:r w:rsidR="00C0633D" w:rsidRPr="00B82F81">
        <w:t>31</w:t>
      </w:r>
      <w:r w:rsidR="00C8646F" w:rsidRPr="00B82F81">
        <w:t>, OECD, Paris.</w:t>
      </w:r>
    </w:p>
    <w:p w14:paraId="2A7BC11D" w14:textId="17F21114" w:rsidR="00C0633D" w:rsidRPr="00B82F81" w:rsidRDefault="00C0633D" w:rsidP="00DE3306">
      <w:r w:rsidRPr="00B82F81">
        <w:t xml:space="preserve">OECD (2019c), </w:t>
      </w:r>
      <w:r w:rsidR="00F06098" w:rsidRPr="00B82F81">
        <w:t>Guiding Principles and Key Elements for Establishing a Weight of Evidence for Chemical Assessment</w:t>
      </w:r>
      <w:r w:rsidRPr="00B82F81">
        <w:t>, Series on Testing and Assessment No. 3</w:t>
      </w:r>
      <w:r w:rsidR="00F06098" w:rsidRPr="00B82F81">
        <w:t>11, ENV/JM/MONO(2019)31</w:t>
      </w:r>
      <w:r w:rsidRPr="00B82F81">
        <w:t>, OECD, Paris.</w:t>
      </w:r>
    </w:p>
    <w:p w14:paraId="5D590964" w14:textId="3411BCA7" w:rsidR="00EA2581" w:rsidRPr="00B82F81" w:rsidRDefault="00EA2581" w:rsidP="00EA2581">
      <w:r w:rsidRPr="00B82F81">
        <w:t>OECD (2020a), Case Study on the Use of Integrated Approaches for Testing and Assessment for Repeated-Dose Toxicity of p-Alkylphenols, Series o</w:t>
      </w:r>
      <w:r w:rsidR="00952B38">
        <w:t>n Testing and Assessment No. 323, ENV/JM/MONO(2020)19</w:t>
      </w:r>
      <w:r w:rsidRPr="00B82F81">
        <w:t>, OECD, Paris.</w:t>
      </w:r>
    </w:p>
    <w:p w14:paraId="2B2701ED" w14:textId="73E763E4" w:rsidR="002A294A" w:rsidRPr="00B82F81" w:rsidRDefault="00EA2581" w:rsidP="00EA2581">
      <w:r w:rsidRPr="00B82F81">
        <w:t>OECD (2020b), Prediction of a 90 day repeated dose toxicity study (OECD 408) for 2-Ethylbutyric acid using a read-across approach to other branched carboxylic acids, Series on Testing and Assessm</w:t>
      </w:r>
      <w:r w:rsidR="00952B38">
        <w:t>ent No. 324, ENV/JM/MONO(2020)20</w:t>
      </w:r>
      <w:r w:rsidRPr="00B82F81">
        <w:t>, OECD, Paris.</w:t>
      </w:r>
    </w:p>
    <w:p w14:paraId="06145200" w14:textId="43005879" w:rsidR="00EF08EE" w:rsidRPr="00B82F81" w:rsidRDefault="00EF08EE" w:rsidP="00EA2581">
      <w:r w:rsidRPr="00B82F81">
        <w:t>OECD (2020c), Identification and characterization of parkinsonian hazard liability of deguelin by an AOP-based testing and read across approach, Series o</w:t>
      </w:r>
      <w:r w:rsidR="00952B38">
        <w:t>n Testing and Assessment No. 326, ENV/JM/MONO(2020)22</w:t>
      </w:r>
      <w:r w:rsidRPr="00B82F81">
        <w:t>, OECD, Paris.</w:t>
      </w:r>
    </w:p>
    <w:p w14:paraId="4988FE0D" w14:textId="0FFCFB81" w:rsidR="00EF08EE" w:rsidRDefault="00EF08EE" w:rsidP="00EA2581">
      <w:r w:rsidRPr="00B82F81">
        <w:t>OECD (2020d), Waiving of repeat-dose neurotoxicity study (TG 424) for azoxystrobin based on Read-Across to other strobilurins, Series o</w:t>
      </w:r>
      <w:r w:rsidR="00952B38">
        <w:t>n Testing and Assessment No. 327</w:t>
      </w:r>
      <w:r w:rsidRPr="00B82F81">
        <w:t>, ENV/JM/MONO(202</w:t>
      </w:r>
      <w:r w:rsidR="00952B38">
        <w:t>0)23</w:t>
      </w:r>
      <w:r w:rsidRPr="00B82F81">
        <w:t>, OECD, Paris.</w:t>
      </w:r>
    </w:p>
    <w:p w14:paraId="77494666" w14:textId="6AA8FCE8" w:rsidR="001E1F7D" w:rsidRDefault="001E1F7D" w:rsidP="00EA2581">
      <w:r>
        <w:t xml:space="preserve">OECD (2020e), </w:t>
      </w:r>
      <w:r w:rsidRPr="001E1F7D">
        <w:t xml:space="preserve">Overview of Concepts and Available Guidance related to Integrated Approaches to Testing and Assessment (IATA), Series on </w:t>
      </w:r>
      <w:r w:rsidR="002369B5">
        <w:t xml:space="preserve">Testing and Assessment No. 329, </w:t>
      </w:r>
      <w:r w:rsidRPr="00B82F81">
        <w:t>OECD, Paris.</w:t>
      </w:r>
    </w:p>
    <w:p w14:paraId="43A8EAA6" w14:textId="4AB4A80C" w:rsidR="005527AF" w:rsidRDefault="005527AF" w:rsidP="00EA2581">
      <w:r>
        <w:t>OECD (2021a</w:t>
      </w:r>
      <w:r w:rsidRPr="00B82F81">
        <w:t xml:space="preserve">), </w:t>
      </w:r>
      <w:r w:rsidR="007B32AE">
        <w:t>T</w:t>
      </w:r>
      <w:r w:rsidRPr="005527AF">
        <w:t>he use of Integrated Approaches for Testing and Assessment for the Systemic Toxicity of Phenoxyethanol when included at 1% in a body lotion</w:t>
      </w:r>
      <w:r w:rsidRPr="00B82F81">
        <w:t>, Series o</w:t>
      </w:r>
      <w:r>
        <w:t>n Testing and Assessment No. XXX</w:t>
      </w:r>
      <w:r w:rsidRPr="00B82F81">
        <w:t>, ENV/JM/MONO(202</w:t>
      </w:r>
      <w:r>
        <w:t>1)XX</w:t>
      </w:r>
      <w:r w:rsidRPr="00B82F81">
        <w:t>, OECD, Paris.</w:t>
      </w:r>
    </w:p>
    <w:p w14:paraId="0F9FA67A" w14:textId="0C640124" w:rsidR="00F43CAC" w:rsidRPr="00B82F81" w:rsidRDefault="00F43CAC" w:rsidP="00EA2581">
      <w:r w:rsidRPr="00F43CAC">
        <w:t xml:space="preserve">OECD (2021b). Guidance Document on Characterisation, Validation and Reporting of PBK models for Regulatory Purposes, Series on Testing &amp; Assessment No. XXX. ENV/JM/MONO(2021)XX, OECD, Paris. </w:t>
      </w:r>
    </w:p>
    <w:p w14:paraId="7FB34984" w14:textId="5D342BDA" w:rsidR="00B52677" w:rsidRPr="00C05870" w:rsidRDefault="00B52677" w:rsidP="00EA2581">
      <w:pPr>
        <w:rPr>
          <w:b/>
        </w:rPr>
      </w:pPr>
      <w:r w:rsidRPr="00B82F81">
        <w:t xml:space="preserve">WHO (2018), Guidance document on evaluating and expressing uncertainty in hazard haracterization, 2nd edition. </w:t>
      </w:r>
      <w:hyperlink r:id="rId72" w:history="1">
        <w:r w:rsidRPr="00C05870">
          <w:rPr>
            <w:rStyle w:val="Hyperlink"/>
          </w:rPr>
          <w:t>https://apps.who.int/iris/handle/10665/259858</w:t>
        </w:r>
      </w:hyperlink>
      <w:r w:rsidRPr="00C05870">
        <w:t xml:space="preserve"> </w:t>
      </w:r>
    </w:p>
    <w:p w14:paraId="1281A091" w14:textId="77777777" w:rsidR="004840B0" w:rsidRPr="004D597C" w:rsidRDefault="004840B0">
      <w:pPr>
        <w:rPr>
          <w:b/>
        </w:rPr>
      </w:pPr>
    </w:p>
    <w:p w14:paraId="11F98863" w14:textId="00AC55FC" w:rsidR="00C0633D" w:rsidRPr="004D597C" w:rsidRDefault="00C0633D">
      <w:pPr>
        <w:rPr>
          <w:b/>
        </w:rPr>
      </w:pPr>
      <w:r w:rsidRPr="004D597C">
        <w:rPr>
          <w:b/>
        </w:rPr>
        <w:br w:type="page"/>
      </w:r>
    </w:p>
    <w:p w14:paraId="496E97A0" w14:textId="2CE83883" w:rsidR="00A25C69" w:rsidRPr="00B82F81" w:rsidRDefault="00A25C69" w:rsidP="00C0633D">
      <w:pPr>
        <w:rPr>
          <w:b/>
        </w:rPr>
        <w:sectPr w:rsidR="00A25C69" w:rsidRPr="00B82F81">
          <w:headerReference w:type="default" r:id="rId73"/>
          <w:footerReference w:type="default" r:id="rId74"/>
          <w:pgSz w:w="11906" w:h="16838"/>
          <w:pgMar w:top="1440" w:right="1440" w:bottom="1440" w:left="1440" w:header="708" w:footer="708" w:gutter="0"/>
          <w:cols w:space="708"/>
          <w:docGrid w:linePitch="360"/>
        </w:sectPr>
      </w:pPr>
    </w:p>
    <w:p w14:paraId="6A49D8C6" w14:textId="0ECF3BE5" w:rsidR="00C0633D" w:rsidRPr="00C05870" w:rsidRDefault="00A25C69" w:rsidP="00C0633D">
      <w:pPr>
        <w:rPr>
          <w:b/>
        </w:rPr>
      </w:pPr>
      <w:r w:rsidRPr="00C05870">
        <w:rPr>
          <w:b/>
        </w:rPr>
        <w:lastRenderedPageBreak/>
        <w:t xml:space="preserve"> Appendix</w:t>
      </w:r>
    </w:p>
    <w:tbl>
      <w:tblPr>
        <w:tblStyle w:val="TableGrid"/>
        <w:tblW w:w="0" w:type="auto"/>
        <w:tblInd w:w="360" w:type="dxa"/>
        <w:tblLook w:val="04A0" w:firstRow="1" w:lastRow="0" w:firstColumn="1" w:lastColumn="0" w:noHBand="0" w:noVBand="1"/>
      </w:tblPr>
      <w:tblGrid>
        <w:gridCol w:w="907"/>
        <w:gridCol w:w="4139"/>
        <w:gridCol w:w="2154"/>
        <w:gridCol w:w="2154"/>
        <w:gridCol w:w="4139"/>
      </w:tblGrid>
      <w:tr w:rsidR="00B5270A" w:rsidRPr="00B82F81" w14:paraId="176094D0" w14:textId="77777777" w:rsidTr="005F0883">
        <w:tc>
          <w:tcPr>
            <w:tcW w:w="907" w:type="dxa"/>
            <w:tcBorders>
              <w:top w:val="single" w:sz="4" w:space="0" w:color="auto"/>
              <w:left w:val="single" w:sz="4" w:space="0" w:color="auto"/>
              <w:bottom w:val="single" w:sz="4" w:space="0" w:color="auto"/>
              <w:right w:val="single" w:sz="4" w:space="0" w:color="auto"/>
            </w:tcBorders>
          </w:tcPr>
          <w:p w14:paraId="1C0DA929" w14:textId="47E9FE92" w:rsidR="004D62A0" w:rsidRPr="00C05870" w:rsidRDefault="004D62A0">
            <w:pPr>
              <w:rPr>
                <w:rFonts w:ascii="Arial" w:hAnsi="Arial" w:cs="Arial"/>
                <w:b/>
                <w:lang w:val="en-GB"/>
              </w:rPr>
            </w:pPr>
            <w:r w:rsidRPr="00C05870">
              <w:rPr>
                <w:rFonts w:ascii="Arial" w:hAnsi="Arial" w:cs="Arial"/>
                <w:b/>
                <w:lang w:val="en-GB"/>
              </w:rPr>
              <w:t>Case Study No.</w:t>
            </w:r>
          </w:p>
        </w:tc>
        <w:tc>
          <w:tcPr>
            <w:tcW w:w="4139" w:type="dxa"/>
            <w:tcBorders>
              <w:top w:val="single" w:sz="4" w:space="0" w:color="auto"/>
              <w:left w:val="single" w:sz="4" w:space="0" w:color="auto"/>
              <w:bottom w:val="single" w:sz="4" w:space="0" w:color="auto"/>
              <w:right w:val="single" w:sz="4" w:space="0" w:color="auto"/>
            </w:tcBorders>
          </w:tcPr>
          <w:p w14:paraId="300CBE63" w14:textId="6CBBC85B" w:rsidR="004D62A0" w:rsidRPr="004D597C" w:rsidRDefault="004D62A0">
            <w:pPr>
              <w:rPr>
                <w:rFonts w:ascii="Arial" w:hAnsi="Arial" w:cs="Arial"/>
                <w:b/>
                <w:lang w:val="en-GB"/>
              </w:rPr>
            </w:pPr>
          </w:p>
          <w:p w14:paraId="73F0A099" w14:textId="3E6DF131" w:rsidR="004D62A0" w:rsidRPr="00B82F81" w:rsidRDefault="00B5270A">
            <w:pPr>
              <w:rPr>
                <w:rFonts w:ascii="Arial" w:hAnsi="Arial" w:cs="Arial"/>
                <w:b/>
                <w:lang w:val="en-GB"/>
              </w:rPr>
            </w:pPr>
            <w:r w:rsidRPr="00B82F81">
              <w:rPr>
                <w:rFonts w:ascii="Arial" w:hAnsi="Arial" w:cs="Arial"/>
                <w:b/>
                <w:lang w:val="en-GB"/>
              </w:rPr>
              <w:t>Case Study Title</w:t>
            </w:r>
          </w:p>
        </w:tc>
        <w:tc>
          <w:tcPr>
            <w:tcW w:w="2154" w:type="dxa"/>
            <w:tcBorders>
              <w:top w:val="single" w:sz="4" w:space="0" w:color="auto"/>
              <w:left w:val="single" w:sz="4" w:space="0" w:color="auto"/>
              <w:bottom w:val="single" w:sz="4" w:space="0" w:color="auto"/>
              <w:right w:val="single" w:sz="4" w:space="0" w:color="auto"/>
            </w:tcBorders>
          </w:tcPr>
          <w:p w14:paraId="02CF4D57" w14:textId="0C03A37C" w:rsidR="004D62A0" w:rsidRPr="00C05870" w:rsidRDefault="004D62A0" w:rsidP="00BB48E8">
            <w:pPr>
              <w:rPr>
                <w:rFonts w:ascii="Arial" w:hAnsi="Arial" w:cs="Arial"/>
                <w:b/>
                <w:lang w:val="en-GB"/>
              </w:rPr>
            </w:pPr>
            <w:r w:rsidRPr="00C05870">
              <w:rPr>
                <w:rFonts w:ascii="Arial" w:hAnsi="Arial" w:cs="Arial"/>
                <w:b/>
                <w:lang w:val="en-GB"/>
              </w:rPr>
              <w:t>Referred Information</w:t>
            </w:r>
          </w:p>
        </w:tc>
        <w:tc>
          <w:tcPr>
            <w:tcW w:w="2154" w:type="dxa"/>
            <w:tcBorders>
              <w:top w:val="single" w:sz="4" w:space="0" w:color="auto"/>
              <w:left w:val="single" w:sz="4" w:space="0" w:color="auto"/>
              <w:bottom w:val="single" w:sz="4" w:space="0" w:color="auto"/>
              <w:right w:val="single" w:sz="4" w:space="0" w:color="auto"/>
            </w:tcBorders>
            <w:hideMark/>
          </w:tcPr>
          <w:p w14:paraId="56E752A2" w14:textId="7CACBFA2" w:rsidR="004D62A0" w:rsidRPr="00B82F81" w:rsidRDefault="004D62A0" w:rsidP="00B82F81">
            <w:pPr>
              <w:rPr>
                <w:rFonts w:ascii="Arial" w:hAnsi="Arial" w:cs="Arial"/>
                <w:lang w:val="en-GB"/>
              </w:rPr>
            </w:pPr>
            <w:r w:rsidRPr="00B82F81">
              <w:rPr>
                <w:rFonts w:ascii="Arial" w:hAnsi="Arial" w:cs="Arial"/>
                <w:b/>
                <w:lang w:val="en-GB"/>
              </w:rPr>
              <w:t xml:space="preserve">Relevant template section </w:t>
            </w:r>
          </w:p>
        </w:tc>
        <w:tc>
          <w:tcPr>
            <w:tcW w:w="4139" w:type="dxa"/>
            <w:tcBorders>
              <w:top w:val="single" w:sz="4" w:space="0" w:color="auto"/>
              <w:left w:val="single" w:sz="4" w:space="0" w:color="auto"/>
              <w:bottom w:val="single" w:sz="4" w:space="0" w:color="auto"/>
              <w:right w:val="single" w:sz="4" w:space="0" w:color="auto"/>
            </w:tcBorders>
          </w:tcPr>
          <w:p w14:paraId="51FF1F6F" w14:textId="744214F4" w:rsidR="004D62A0" w:rsidRPr="00B82F81" w:rsidRDefault="004D62A0" w:rsidP="00B82F81">
            <w:pPr>
              <w:rPr>
                <w:rFonts w:ascii="Arial" w:hAnsi="Arial" w:cs="Arial"/>
                <w:b/>
                <w:lang w:val="en-GB"/>
              </w:rPr>
            </w:pPr>
            <w:r w:rsidRPr="00B82F81">
              <w:rPr>
                <w:rFonts w:ascii="Arial" w:hAnsi="Arial" w:cs="Arial"/>
                <w:b/>
                <w:lang w:val="en-GB"/>
              </w:rPr>
              <w:t>Why this example works well</w:t>
            </w:r>
          </w:p>
        </w:tc>
      </w:tr>
      <w:tr w:rsidR="00EA0BD2" w:rsidRPr="00B82F81" w14:paraId="30D621B4" w14:textId="77777777" w:rsidTr="005F0883">
        <w:tc>
          <w:tcPr>
            <w:tcW w:w="907" w:type="dxa"/>
            <w:tcBorders>
              <w:top w:val="single" w:sz="4" w:space="0" w:color="auto"/>
              <w:left w:val="single" w:sz="4" w:space="0" w:color="auto"/>
              <w:bottom w:val="single" w:sz="4" w:space="0" w:color="auto"/>
              <w:right w:val="single" w:sz="4" w:space="0" w:color="auto"/>
            </w:tcBorders>
          </w:tcPr>
          <w:p w14:paraId="0797B7F1" w14:textId="18BED370" w:rsidR="00EA0BD2" w:rsidRPr="00B82F81" w:rsidRDefault="00EA0BD2" w:rsidP="00000398">
            <w:pPr>
              <w:rPr>
                <w:rFonts w:ascii="Arial" w:hAnsi="Arial" w:cs="Arial"/>
                <w:lang w:val="en-GB"/>
              </w:rPr>
            </w:pPr>
            <w:r w:rsidRPr="00B82F81">
              <w:rPr>
                <w:rFonts w:ascii="Arial" w:hAnsi="Arial" w:cs="Arial"/>
                <w:lang w:val="en-GB"/>
              </w:rPr>
              <w:t>2017-3</w:t>
            </w:r>
          </w:p>
        </w:tc>
        <w:tc>
          <w:tcPr>
            <w:tcW w:w="4139" w:type="dxa"/>
            <w:tcBorders>
              <w:top w:val="single" w:sz="4" w:space="0" w:color="auto"/>
              <w:left w:val="single" w:sz="4" w:space="0" w:color="auto"/>
              <w:bottom w:val="single" w:sz="4" w:space="0" w:color="auto"/>
              <w:right w:val="single" w:sz="4" w:space="0" w:color="auto"/>
            </w:tcBorders>
          </w:tcPr>
          <w:p w14:paraId="62785671" w14:textId="6CEB6C22" w:rsidR="00EA0BD2" w:rsidRPr="00B82F81" w:rsidRDefault="00EA0BD2" w:rsidP="00000398">
            <w:pPr>
              <w:rPr>
                <w:rFonts w:ascii="Arial" w:hAnsi="Arial" w:cs="Arial"/>
                <w:lang w:val="en-GB"/>
              </w:rPr>
            </w:pPr>
            <w:r w:rsidRPr="00B82F81">
              <w:rPr>
                <w:rFonts w:ascii="Arial" w:hAnsi="Arial" w:cs="Arial"/>
                <w:lang w:val="en-GB"/>
              </w:rPr>
              <w:t>Case study on grouping and read-across for nanomaterials genotoxicity of nano-TiO</w:t>
            </w:r>
            <w:r w:rsidR="004860C4" w:rsidRPr="00046362">
              <w:rPr>
                <w:rFonts w:ascii="Arial" w:hAnsi="Arial" w:cs="Arial"/>
                <w:vertAlign w:val="subscript"/>
              </w:rPr>
              <w:t>2</w:t>
            </w:r>
          </w:p>
        </w:tc>
        <w:tc>
          <w:tcPr>
            <w:tcW w:w="2154" w:type="dxa"/>
            <w:tcBorders>
              <w:top w:val="single" w:sz="4" w:space="0" w:color="auto"/>
              <w:left w:val="single" w:sz="4" w:space="0" w:color="auto"/>
              <w:bottom w:val="single" w:sz="4" w:space="0" w:color="auto"/>
              <w:right w:val="single" w:sz="4" w:space="0" w:color="auto"/>
            </w:tcBorders>
          </w:tcPr>
          <w:p w14:paraId="3D99083D" w14:textId="654534B4" w:rsidR="00EA0BD2" w:rsidRPr="00B82F81" w:rsidRDefault="00793B4C" w:rsidP="00000398">
            <w:pPr>
              <w:rPr>
                <w:rFonts w:ascii="Arial" w:hAnsi="Arial" w:cs="Arial"/>
                <w:lang w:val="en-GB"/>
              </w:rPr>
            </w:pPr>
            <w:r w:rsidRPr="00B82F81">
              <w:rPr>
                <w:rFonts w:ascii="Arial" w:hAnsi="Arial" w:cs="Arial"/>
                <w:lang w:val="en-GB"/>
              </w:rPr>
              <w:t>SUMMARY</w:t>
            </w:r>
            <w:r w:rsidR="00F06098" w:rsidRPr="00B82F81">
              <w:rPr>
                <w:rFonts w:ascii="Arial" w:hAnsi="Arial" w:cs="Arial"/>
                <w:lang w:val="en-GB"/>
              </w:rPr>
              <w:t xml:space="preserve">, Page </w:t>
            </w:r>
            <w:hyperlink r:id="rId75" w:anchor="page=8" w:history="1">
              <w:r w:rsidR="00F06098" w:rsidRPr="00B82F81">
                <w:rPr>
                  <w:rStyle w:val="Hyperlink"/>
                  <w:rFonts w:ascii="Arial" w:hAnsi="Arial" w:cs="Arial"/>
                  <w:lang w:val="en-GB"/>
                </w:rPr>
                <w:t>8</w:t>
              </w:r>
            </w:hyperlink>
            <w:r w:rsidR="00F06098" w:rsidRPr="00B82F81">
              <w:rPr>
                <w:rFonts w:ascii="Arial" w:hAnsi="Arial" w:cs="Arial"/>
                <w:lang w:val="en-GB"/>
              </w:rPr>
              <w:t xml:space="preserve"> </w:t>
            </w:r>
          </w:p>
        </w:tc>
        <w:tc>
          <w:tcPr>
            <w:tcW w:w="2154" w:type="dxa"/>
            <w:tcBorders>
              <w:top w:val="single" w:sz="4" w:space="0" w:color="auto"/>
              <w:left w:val="single" w:sz="4" w:space="0" w:color="auto"/>
              <w:bottom w:val="single" w:sz="4" w:space="0" w:color="auto"/>
              <w:right w:val="single" w:sz="4" w:space="0" w:color="auto"/>
            </w:tcBorders>
          </w:tcPr>
          <w:p w14:paraId="32DDE82C" w14:textId="3034A4FE" w:rsidR="00EA0BD2" w:rsidRPr="00B82F81" w:rsidRDefault="00793B4C" w:rsidP="00371583">
            <w:pPr>
              <w:rPr>
                <w:rFonts w:ascii="Arial" w:hAnsi="Arial" w:cs="Arial"/>
                <w:lang w:val="en-GB"/>
              </w:rPr>
            </w:pPr>
            <w:r w:rsidRPr="00B82F81">
              <w:rPr>
                <w:rFonts w:ascii="Arial" w:hAnsi="Arial" w:cs="Arial"/>
                <w:lang w:val="en-GB"/>
              </w:rPr>
              <w:t>Abstract / Synopsis / Executive summary</w:t>
            </w:r>
          </w:p>
        </w:tc>
        <w:tc>
          <w:tcPr>
            <w:tcW w:w="4139" w:type="dxa"/>
            <w:tcBorders>
              <w:top w:val="single" w:sz="4" w:space="0" w:color="auto"/>
              <w:left w:val="single" w:sz="4" w:space="0" w:color="auto"/>
              <w:bottom w:val="single" w:sz="4" w:space="0" w:color="auto"/>
              <w:right w:val="single" w:sz="4" w:space="0" w:color="auto"/>
            </w:tcBorders>
          </w:tcPr>
          <w:p w14:paraId="0620BBED" w14:textId="7AE3056B" w:rsidR="00EA0BD2" w:rsidRPr="00B82F81" w:rsidRDefault="001865BE" w:rsidP="00395EA3">
            <w:pPr>
              <w:rPr>
                <w:rFonts w:ascii="Arial" w:hAnsi="Arial" w:cs="Arial"/>
                <w:lang w:val="en-GB"/>
              </w:rPr>
            </w:pPr>
            <w:r>
              <w:rPr>
                <w:rFonts w:ascii="Arial" w:hAnsi="Arial" w:cs="Arial"/>
              </w:rPr>
              <w:t xml:space="preserve">This summary is </w:t>
            </w:r>
            <w:r w:rsidRPr="009D4DC5">
              <w:rPr>
                <w:rFonts w:ascii="Arial" w:hAnsi="Arial" w:cs="Arial"/>
              </w:rPr>
              <w:t>concise</w:t>
            </w:r>
            <w:r>
              <w:rPr>
                <w:rFonts w:ascii="Arial" w:hAnsi="Arial" w:cs="Arial"/>
              </w:rPr>
              <w:t xml:space="preserve"> and includes the elements described in this template.</w:t>
            </w:r>
          </w:p>
        </w:tc>
      </w:tr>
      <w:tr w:rsidR="00EA0BD2" w:rsidRPr="00B82F81" w14:paraId="26C57BD5" w14:textId="77777777" w:rsidTr="005F0883">
        <w:tc>
          <w:tcPr>
            <w:tcW w:w="907" w:type="dxa"/>
            <w:tcBorders>
              <w:top w:val="single" w:sz="4" w:space="0" w:color="auto"/>
              <w:left w:val="single" w:sz="4" w:space="0" w:color="auto"/>
              <w:bottom w:val="single" w:sz="4" w:space="0" w:color="auto"/>
              <w:right w:val="single" w:sz="4" w:space="0" w:color="auto"/>
            </w:tcBorders>
          </w:tcPr>
          <w:p w14:paraId="4D35D823" w14:textId="2786CE8A" w:rsidR="00EA0BD2" w:rsidRPr="00B82F81" w:rsidRDefault="00EA0BD2" w:rsidP="00000398">
            <w:pPr>
              <w:rPr>
                <w:rFonts w:ascii="Arial" w:hAnsi="Arial" w:cs="Arial"/>
                <w:lang w:val="en-GB"/>
              </w:rPr>
            </w:pPr>
            <w:r w:rsidRPr="00B82F81">
              <w:rPr>
                <w:rFonts w:ascii="Arial" w:hAnsi="Arial" w:cs="Arial"/>
                <w:lang w:val="en-GB"/>
              </w:rPr>
              <w:t>2018-1</w:t>
            </w:r>
          </w:p>
        </w:tc>
        <w:tc>
          <w:tcPr>
            <w:tcW w:w="4139" w:type="dxa"/>
            <w:tcBorders>
              <w:top w:val="single" w:sz="4" w:space="0" w:color="auto"/>
              <w:left w:val="single" w:sz="4" w:space="0" w:color="auto"/>
              <w:bottom w:val="single" w:sz="4" w:space="0" w:color="auto"/>
              <w:right w:val="single" w:sz="4" w:space="0" w:color="auto"/>
            </w:tcBorders>
          </w:tcPr>
          <w:p w14:paraId="25B18CBC" w14:textId="2827494A" w:rsidR="00EA0BD2" w:rsidRPr="00B82F81" w:rsidRDefault="00EA0BD2" w:rsidP="00000398">
            <w:pPr>
              <w:rPr>
                <w:rFonts w:ascii="Arial" w:hAnsi="Arial" w:cs="Arial"/>
                <w:lang w:val="en-GB"/>
              </w:rPr>
            </w:pPr>
            <w:r w:rsidRPr="00C05870">
              <w:rPr>
                <w:rFonts w:ascii="Arial" w:hAnsi="Arial" w:cs="Arial"/>
                <w:lang w:val="en-GB"/>
              </w:rPr>
              <w:t>Case Study on the use of Integrated Approaches for Testing and Assessment for Testicular Toxicity of Ethylene Glycol Methyl Ether (EGME)-Related Chemicals</w:t>
            </w:r>
          </w:p>
        </w:tc>
        <w:tc>
          <w:tcPr>
            <w:tcW w:w="2154" w:type="dxa"/>
            <w:tcBorders>
              <w:top w:val="single" w:sz="4" w:space="0" w:color="auto"/>
              <w:left w:val="single" w:sz="4" w:space="0" w:color="auto"/>
              <w:bottom w:val="single" w:sz="4" w:space="0" w:color="auto"/>
              <w:right w:val="single" w:sz="4" w:space="0" w:color="auto"/>
            </w:tcBorders>
          </w:tcPr>
          <w:p w14:paraId="2770DB52" w14:textId="479CB93E" w:rsidR="00EA0BD2" w:rsidRPr="00B82F81" w:rsidRDefault="00793B4C" w:rsidP="00000398">
            <w:pPr>
              <w:rPr>
                <w:rFonts w:ascii="Arial" w:hAnsi="Arial" w:cs="Arial"/>
                <w:lang w:val="en-GB"/>
              </w:rPr>
            </w:pPr>
            <w:r w:rsidRPr="00B82F81">
              <w:rPr>
                <w:rFonts w:ascii="Arial" w:hAnsi="Arial" w:cs="Arial"/>
                <w:lang w:val="en-GB"/>
              </w:rPr>
              <w:t>Executive Summary</w:t>
            </w:r>
            <w:r w:rsidR="00F06098" w:rsidRPr="00B82F81">
              <w:rPr>
                <w:rFonts w:ascii="Arial" w:hAnsi="Arial" w:cs="Arial"/>
                <w:lang w:val="en-GB"/>
              </w:rPr>
              <w:t xml:space="preserve">, Page </w:t>
            </w:r>
            <w:hyperlink r:id="rId76" w:anchor="page=7" w:history="1">
              <w:r w:rsidR="00F06098" w:rsidRPr="00B82F81">
                <w:rPr>
                  <w:rStyle w:val="Hyperlink"/>
                  <w:rFonts w:ascii="Arial" w:hAnsi="Arial" w:cs="Arial"/>
                  <w:lang w:val="en-GB"/>
                </w:rPr>
                <w:t>7</w:t>
              </w:r>
            </w:hyperlink>
          </w:p>
        </w:tc>
        <w:tc>
          <w:tcPr>
            <w:tcW w:w="2154" w:type="dxa"/>
            <w:tcBorders>
              <w:top w:val="single" w:sz="4" w:space="0" w:color="auto"/>
              <w:left w:val="single" w:sz="4" w:space="0" w:color="auto"/>
              <w:bottom w:val="single" w:sz="4" w:space="0" w:color="auto"/>
              <w:right w:val="single" w:sz="4" w:space="0" w:color="auto"/>
            </w:tcBorders>
          </w:tcPr>
          <w:p w14:paraId="2F9A9628" w14:textId="16B76BF5" w:rsidR="00EA0BD2" w:rsidRPr="00B82F81" w:rsidRDefault="00793B4C" w:rsidP="00371583">
            <w:pPr>
              <w:rPr>
                <w:rFonts w:ascii="Arial" w:hAnsi="Arial" w:cs="Arial"/>
                <w:lang w:val="en-GB"/>
              </w:rPr>
            </w:pPr>
            <w:r w:rsidRPr="00B82F81">
              <w:rPr>
                <w:rFonts w:ascii="Arial" w:hAnsi="Arial" w:cs="Arial"/>
                <w:lang w:val="en-GB"/>
              </w:rPr>
              <w:t>Abstract / Synopsis / Executive summary</w:t>
            </w:r>
          </w:p>
        </w:tc>
        <w:tc>
          <w:tcPr>
            <w:tcW w:w="4139" w:type="dxa"/>
            <w:tcBorders>
              <w:top w:val="single" w:sz="4" w:space="0" w:color="auto"/>
              <w:left w:val="single" w:sz="4" w:space="0" w:color="auto"/>
              <w:bottom w:val="single" w:sz="4" w:space="0" w:color="auto"/>
              <w:right w:val="single" w:sz="4" w:space="0" w:color="auto"/>
            </w:tcBorders>
          </w:tcPr>
          <w:p w14:paraId="587F4D4E" w14:textId="65E869C5" w:rsidR="00EA0BD2" w:rsidRPr="00B82F81" w:rsidRDefault="001865BE" w:rsidP="00395EA3">
            <w:pPr>
              <w:rPr>
                <w:rFonts w:ascii="Arial" w:hAnsi="Arial" w:cs="Arial"/>
                <w:lang w:val="en-GB"/>
              </w:rPr>
            </w:pPr>
            <w:r>
              <w:rPr>
                <w:rFonts w:ascii="Arial" w:hAnsi="Arial" w:cs="Arial"/>
              </w:rPr>
              <w:t xml:space="preserve">This summary is </w:t>
            </w:r>
            <w:r w:rsidRPr="009D4DC5">
              <w:rPr>
                <w:rFonts w:ascii="Arial" w:hAnsi="Arial" w:cs="Arial"/>
              </w:rPr>
              <w:t>concise</w:t>
            </w:r>
            <w:r>
              <w:rPr>
                <w:rFonts w:ascii="Arial" w:hAnsi="Arial" w:cs="Arial"/>
              </w:rPr>
              <w:t xml:space="preserve"> and includes the elements described in this template.</w:t>
            </w:r>
          </w:p>
        </w:tc>
      </w:tr>
      <w:tr w:rsidR="00EA0BD2" w:rsidRPr="00B82F81" w14:paraId="0583E59F" w14:textId="77777777" w:rsidTr="005F0883">
        <w:tc>
          <w:tcPr>
            <w:tcW w:w="907" w:type="dxa"/>
            <w:tcBorders>
              <w:top w:val="single" w:sz="4" w:space="0" w:color="auto"/>
              <w:left w:val="single" w:sz="4" w:space="0" w:color="auto"/>
              <w:bottom w:val="single" w:sz="4" w:space="0" w:color="auto"/>
              <w:right w:val="single" w:sz="4" w:space="0" w:color="auto"/>
            </w:tcBorders>
          </w:tcPr>
          <w:p w14:paraId="79E86574" w14:textId="59598068" w:rsidR="00EA0BD2" w:rsidRPr="00B82F81" w:rsidRDefault="00EA0BD2" w:rsidP="00000398">
            <w:pPr>
              <w:rPr>
                <w:rFonts w:ascii="Arial" w:hAnsi="Arial" w:cs="Arial"/>
                <w:lang w:val="en-GB"/>
              </w:rPr>
            </w:pPr>
            <w:r w:rsidRPr="00B82F81">
              <w:rPr>
                <w:rFonts w:ascii="Arial" w:hAnsi="Arial" w:cs="Arial"/>
                <w:lang w:val="en-GB"/>
              </w:rPr>
              <w:t>2018-2</w:t>
            </w:r>
          </w:p>
        </w:tc>
        <w:tc>
          <w:tcPr>
            <w:tcW w:w="4139" w:type="dxa"/>
            <w:tcBorders>
              <w:top w:val="single" w:sz="4" w:space="0" w:color="auto"/>
              <w:left w:val="single" w:sz="4" w:space="0" w:color="auto"/>
              <w:bottom w:val="single" w:sz="4" w:space="0" w:color="auto"/>
              <w:right w:val="single" w:sz="4" w:space="0" w:color="auto"/>
            </w:tcBorders>
          </w:tcPr>
          <w:p w14:paraId="63891F41" w14:textId="5FC4E160" w:rsidR="00EA0BD2" w:rsidRPr="00B82F81" w:rsidRDefault="00EA0BD2" w:rsidP="00000398">
            <w:pPr>
              <w:rPr>
                <w:rFonts w:ascii="Arial" w:hAnsi="Arial" w:cs="Arial"/>
                <w:lang w:val="en-GB"/>
              </w:rPr>
            </w:pPr>
            <w:r w:rsidRPr="00B82F81">
              <w:rPr>
                <w:rFonts w:ascii="Arial" w:hAnsi="Arial" w:cs="Arial"/>
                <w:lang w:val="en-GB"/>
              </w:rPr>
              <w:t>Case Study on the Use of an Integrated Approach to Testing and Assessment for Identifying Estrogen Receptor Active Chemicals</w:t>
            </w:r>
          </w:p>
        </w:tc>
        <w:tc>
          <w:tcPr>
            <w:tcW w:w="2154" w:type="dxa"/>
            <w:tcBorders>
              <w:top w:val="single" w:sz="4" w:space="0" w:color="auto"/>
              <w:left w:val="single" w:sz="4" w:space="0" w:color="auto"/>
              <w:bottom w:val="single" w:sz="4" w:space="0" w:color="auto"/>
              <w:right w:val="single" w:sz="4" w:space="0" w:color="auto"/>
            </w:tcBorders>
          </w:tcPr>
          <w:p w14:paraId="1E80F43B" w14:textId="01DC76DF" w:rsidR="00EA0BD2" w:rsidRPr="00B82F81" w:rsidRDefault="00793B4C" w:rsidP="00000398">
            <w:pPr>
              <w:rPr>
                <w:rFonts w:ascii="Arial" w:hAnsi="Arial" w:cs="Arial"/>
                <w:lang w:val="en-GB"/>
              </w:rPr>
            </w:pPr>
            <w:r w:rsidRPr="00B82F81">
              <w:rPr>
                <w:rFonts w:ascii="Arial" w:hAnsi="Arial" w:cs="Arial"/>
                <w:lang w:val="en-GB"/>
              </w:rPr>
              <w:t>Executive Summary</w:t>
            </w:r>
            <w:r w:rsidR="00F06098" w:rsidRPr="00B82F81">
              <w:rPr>
                <w:rFonts w:ascii="Arial" w:hAnsi="Arial" w:cs="Arial"/>
                <w:lang w:val="en-GB"/>
              </w:rPr>
              <w:t xml:space="preserve">, Page </w:t>
            </w:r>
            <w:hyperlink r:id="rId77" w:anchor="page=7" w:history="1">
              <w:r w:rsidR="00F06098" w:rsidRPr="00B82F81">
                <w:rPr>
                  <w:rStyle w:val="Hyperlink"/>
                  <w:rFonts w:ascii="Arial" w:hAnsi="Arial" w:cs="Arial"/>
                  <w:lang w:val="en-GB"/>
                </w:rPr>
                <w:t>7</w:t>
              </w:r>
            </w:hyperlink>
          </w:p>
        </w:tc>
        <w:tc>
          <w:tcPr>
            <w:tcW w:w="2154" w:type="dxa"/>
            <w:tcBorders>
              <w:top w:val="single" w:sz="4" w:space="0" w:color="auto"/>
              <w:left w:val="single" w:sz="4" w:space="0" w:color="auto"/>
              <w:bottom w:val="single" w:sz="4" w:space="0" w:color="auto"/>
              <w:right w:val="single" w:sz="4" w:space="0" w:color="auto"/>
            </w:tcBorders>
          </w:tcPr>
          <w:p w14:paraId="54263953" w14:textId="144AA9DA" w:rsidR="00EA0BD2" w:rsidRPr="00B82F81" w:rsidRDefault="00793B4C" w:rsidP="00371583">
            <w:pPr>
              <w:rPr>
                <w:rFonts w:ascii="Arial" w:hAnsi="Arial" w:cs="Arial"/>
                <w:lang w:val="en-GB"/>
              </w:rPr>
            </w:pPr>
            <w:r w:rsidRPr="00B82F81">
              <w:rPr>
                <w:rFonts w:ascii="Arial" w:hAnsi="Arial" w:cs="Arial"/>
                <w:lang w:val="en-GB"/>
              </w:rPr>
              <w:t>Abstract / Synopsis / Executive summary</w:t>
            </w:r>
          </w:p>
        </w:tc>
        <w:tc>
          <w:tcPr>
            <w:tcW w:w="4139" w:type="dxa"/>
            <w:tcBorders>
              <w:top w:val="single" w:sz="4" w:space="0" w:color="auto"/>
              <w:left w:val="single" w:sz="4" w:space="0" w:color="auto"/>
              <w:bottom w:val="single" w:sz="4" w:space="0" w:color="auto"/>
              <w:right w:val="single" w:sz="4" w:space="0" w:color="auto"/>
            </w:tcBorders>
          </w:tcPr>
          <w:p w14:paraId="59720057" w14:textId="3B3D696B" w:rsidR="00EA0BD2" w:rsidRPr="00B82F81" w:rsidRDefault="001865BE" w:rsidP="00395EA3">
            <w:pPr>
              <w:rPr>
                <w:rFonts w:ascii="Arial" w:hAnsi="Arial" w:cs="Arial"/>
                <w:lang w:val="en-GB"/>
              </w:rPr>
            </w:pPr>
            <w:r>
              <w:rPr>
                <w:rFonts w:ascii="Arial" w:hAnsi="Arial" w:cs="Arial"/>
              </w:rPr>
              <w:t xml:space="preserve">This summary is </w:t>
            </w:r>
            <w:r w:rsidRPr="009D4DC5">
              <w:rPr>
                <w:rFonts w:ascii="Arial" w:hAnsi="Arial" w:cs="Arial"/>
              </w:rPr>
              <w:t>concise</w:t>
            </w:r>
            <w:r>
              <w:rPr>
                <w:rFonts w:ascii="Arial" w:hAnsi="Arial" w:cs="Arial"/>
              </w:rPr>
              <w:t xml:space="preserve"> and includes the elements described in this template.</w:t>
            </w:r>
          </w:p>
        </w:tc>
      </w:tr>
      <w:tr w:rsidR="00371583" w:rsidRPr="00B82F81" w14:paraId="48130DF5" w14:textId="77777777" w:rsidTr="005F0883">
        <w:tc>
          <w:tcPr>
            <w:tcW w:w="907" w:type="dxa"/>
            <w:tcBorders>
              <w:top w:val="single" w:sz="4" w:space="0" w:color="auto"/>
              <w:left w:val="single" w:sz="4" w:space="0" w:color="auto"/>
              <w:bottom w:val="single" w:sz="4" w:space="0" w:color="auto"/>
              <w:right w:val="single" w:sz="4" w:space="0" w:color="auto"/>
            </w:tcBorders>
          </w:tcPr>
          <w:p w14:paraId="2D9D11F0" w14:textId="2F9DD0EB" w:rsidR="00371583" w:rsidRPr="00B82F81" w:rsidRDefault="00371583" w:rsidP="00000398">
            <w:pPr>
              <w:rPr>
                <w:rFonts w:ascii="Arial" w:hAnsi="Arial" w:cs="Arial"/>
                <w:lang w:val="en-GB"/>
              </w:rPr>
            </w:pPr>
            <w:r w:rsidRPr="00B82F81">
              <w:rPr>
                <w:rFonts w:ascii="Arial" w:hAnsi="Arial" w:cs="Arial"/>
                <w:lang w:val="en-GB"/>
              </w:rPr>
              <w:t>2017-2</w:t>
            </w:r>
          </w:p>
        </w:tc>
        <w:tc>
          <w:tcPr>
            <w:tcW w:w="4139" w:type="dxa"/>
            <w:tcBorders>
              <w:top w:val="single" w:sz="4" w:space="0" w:color="auto"/>
              <w:left w:val="single" w:sz="4" w:space="0" w:color="auto"/>
              <w:bottom w:val="single" w:sz="4" w:space="0" w:color="auto"/>
              <w:right w:val="single" w:sz="4" w:space="0" w:color="auto"/>
            </w:tcBorders>
          </w:tcPr>
          <w:p w14:paraId="7DC600CC" w14:textId="62EBBB30" w:rsidR="00371583" w:rsidRPr="00B82F81" w:rsidRDefault="00371583" w:rsidP="00000398">
            <w:pPr>
              <w:rPr>
                <w:rFonts w:ascii="Arial" w:hAnsi="Arial" w:cs="Arial"/>
                <w:lang w:val="en-GB"/>
              </w:rPr>
            </w:pPr>
            <w:r w:rsidRPr="00B82F81">
              <w:rPr>
                <w:rFonts w:ascii="Arial" w:hAnsi="Arial" w:cs="Arial"/>
                <w:lang w:val="en-GB"/>
              </w:rPr>
              <w:t>Prioritization of chemicals using the Integrated Approaches for Testing and Assessment (IATA)-based Ecological Risk Classification</w:t>
            </w:r>
          </w:p>
        </w:tc>
        <w:tc>
          <w:tcPr>
            <w:tcW w:w="2154" w:type="dxa"/>
            <w:tcBorders>
              <w:top w:val="single" w:sz="4" w:space="0" w:color="auto"/>
              <w:left w:val="single" w:sz="4" w:space="0" w:color="auto"/>
              <w:bottom w:val="single" w:sz="4" w:space="0" w:color="auto"/>
              <w:right w:val="single" w:sz="4" w:space="0" w:color="auto"/>
            </w:tcBorders>
          </w:tcPr>
          <w:p w14:paraId="30197F6E" w14:textId="464E0885" w:rsidR="00371583" w:rsidRPr="00B82F81" w:rsidRDefault="00371583" w:rsidP="00000398">
            <w:pPr>
              <w:rPr>
                <w:rFonts w:ascii="Arial" w:hAnsi="Arial" w:cs="Arial"/>
                <w:lang w:val="en-GB"/>
              </w:rPr>
            </w:pPr>
            <w:r w:rsidRPr="00B82F81">
              <w:rPr>
                <w:rFonts w:ascii="Arial" w:hAnsi="Arial" w:cs="Arial"/>
                <w:lang w:val="en-GB"/>
              </w:rPr>
              <w:t xml:space="preserve">1. PURPOSE, Page </w:t>
            </w:r>
            <w:hyperlink r:id="rId78" w:anchor="page=12" w:history="1">
              <w:r w:rsidRPr="00B82F81">
                <w:rPr>
                  <w:rStyle w:val="Hyperlink"/>
                  <w:rFonts w:ascii="Arial" w:hAnsi="Arial" w:cs="Arial"/>
                  <w:lang w:val="en-GB"/>
                </w:rPr>
                <w:t>12</w:t>
              </w:r>
            </w:hyperlink>
          </w:p>
        </w:tc>
        <w:tc>
          <w:tcPr>
            <w:tcW w:w="2154" w:type="dxa"/>
            <w:tcBorders>
              <w:top w:val="single" w:sz="4" w:space="0" w:color="auto"/>
              <w:left w:val="single" w:sz="4" w:space="0" w:color="auto"/>
              <w:bottom w:val="single" w:sz="4" w:space="0" w:color="auto"/>
              <w:right w:val="single" w:sz="4" w:space="0" w:color="auto"/>
            </w:tcBorders>
          </w:tcPr>
          <w:p w14:paraId="5D3A7966" w14:textId="4C37C106" w:rsidR="00371583" w:rsidRPr="00B82F81" w:rsidRDefault="00B82F81" w:rsidP="00371583">
            <w:pPr>
              <w:rPr>
                <w:rFonts w:ascii="Arial" w:hAnsi="Arial" w:cs="Arial"/>
                <w:lang w:val="en-GB"/>
              </w:rPr>
            </w:pPr>
            <w:r>
              <w:rPr>
                <w:rFonts w:ascii="Arial" w:hAnsi="Arial" w:cs="Arial"/>
                <w:lang w:val="en-GB"/>
              </w:rPr>
              <w:t>2</w:t>
            </w:r>
            <w:r w:rsidR="00371583" w:rsidRPr="00B82F81">
              <w:rPr>
                <w:rFonts w:ascii="Arial" w:hAnsi="Arial" w:cs="Arial"/>
                <w:lang w:val="en-GB"/>
              </w:rPr>
              <w:t>. Purpose: target chemical</w:t>
            </w:r>
          </w:p>
        </w:tc>
        <w:tc>
          <w:tcPr>
            <w:tcW w:w="4139" w:type="dxa"/>
            <w:tcBorders>
              <w:top w:val="single" w:sz="4" w:space="0" w:color="auto"/>
              <w:left w:val="single" w:sz="4" w:space="0" w:color="auto"/>
              <w:bottom w:val="single" w:sz="4" w:space="0" w:color="auto"/>
              <w:right w:val="single" w:sz="4" w:space="0" w:color="auto"/>
            </w:tcBorders>
          </w:tcPr>
          <w:p w14:paraId="2750211D" w14:textId="578E6DB2" w:rsidR="00371583" w:rsidRPr="00B82F81" w:rsidRDefault="00371583" w:rsidP="005E2995">
            <w:pPr>
              <w:rPr>
                <w:rFonts w:ascii="Arial" w:hAnsi="Arial" w:cs="Arial"/>
                <w:lang w:val="en-GB"/>
              </w:rPr>
            </w:pPr>
            <w:r w:rsidRPr="00B82F81">
              <w:rPr>
                <w:rFonts w:ascii="Arial" w:hAnsi="Arial" w:cs="Arial"/>
                <w:lang w:val="en-GB"/>
              </w:rPr>
              <w:t xml:space="preserve">The section </w:t>
            </w:r>
            <w:r w:rsidR="005E2995">
              <w:rPr>
                <w:rFonts w:ascii="Arial" w:hAnsi="Arial" w:cs="Arial"/>
                <w:lang w:val="en-GB"/>
              </w:rPr>
              <w:t>includes a clear and concise description of the target chemicals that</w:t>
            </w:r>
            <w:r w:rsidR="00395EA3" w:rsidRPr="00B82F81">
              <w:rPr>
                <w:rFonts w:ascii="Arial" w:hAnsi="Arial" w:cs="Arial"/>
                <w:lang w:val="en-GB"/>
              </w:rPr>
              <w:t xml:space="preserve"> </w:t>
            </w:r>
            <w:r w:rsidRPr="00B82F81">
              <w:rPr>
                <w:rFonts w:ascii="Arial" w:hAnsi="Arial" w:cs="Arial"/>
                <w:lang w:val="en-GB"/>
              </w:rPr>
              <w:t xml:space="preserve">640 </w:t>
            </w:r>
            <w:r w:rsidR="00395EA3" w:rsidRPr="00B82F81">
              <w:rPr>
                <w:rFonts w:ascii="Arial" w:hAnsi="Arial" w:cs="Arial"/>
                <w:lang w:val="en-GB"/>
              </w:rPr>
              <w:t>organic substances were evaluated based on the IATA and that the results of 3 chemicals were showed as example.</w:t>
            </w:r>
            <w:r w:rsidRPr="00B82F81">
              <w:rPr>
                <w:rFonts w:ascii="Arial" w:hAnsi="Arial" w:cs="Arial"/>
                <w:lang w:val="en-GB"/>
              </w:rPr>
              <w:t xml:space="preserve"> </w:t>
            </w:r>
          </w:p>
        </w:tc>
      </w:tr>
      <w:tr w:rsidR="00371583" w:rsidRPr="00B82F81" w14:paraId="35FAA5A6" w14:textId="77777777" w:rsidTr="005F0883">
        <w:tc>
          <w:tcPr>
            <w:tcW w:w="907" w:type="dxa"/>
            <w:tcBorders>
              <w:top w:val="single" w:sz="4" w:space="0" w:color="auto"/>
              <w:left w:val="single" w:sz="4" w:space="0" w:color="auto"/>
              <w:bottom w:val="single" w:sz="4" w:space="0" w:color="auto"/>
              <w:right w:val="single" w:sz="4" w:space="0" w:color="auto"/>
            </w:tcBorders>
          </w:tcPr>
          <w:p w14:paraId="67954AD7" w14:textId="4EA4B73B" w:rsidR="00371583" w:rsidRPr="00B82F81" w:rsidRDefault="00371583" w:rsidP="00000398">
            <w:pPr>
              <w:rPr>
                <w:rFonts w:ascii="Arial" w:hAnsi="Arial" w:cs="Arial"/>
                <w:lang w:val="en-GB"/>
              </w:rPr>
            </w:pPr>
            <w:r w:rsidRPr="00B82F81">
              <w:rPr>
                <w:rFonts w:ascii="Arial" w:hAnsi="Arial" w:cs="Arial"/>
                <w:lang w:val="en-GB"/>
              </w:rPr>
              <w:t>2018-2</w:t>
            </w:r>
          </w:p>
        </w:tc>
        <w:tc>
          <w:tcPr>
            <w:tcW w:w="4139" w:type="dxa"/>
            <w:tcBorders>
              <w:top w:val="single" w:sz="4" w:space="0" w:color="auto"/>
              <w:left w:val="single" w:sz="4" w:space="0" w:color="auto"/>
              <w:bottom w:val="single" w:sz="4" w:space="0" w:color="auto"/>
              <w:right w:val="single" w:sz="4" w:space="0" w:color="auto"/>
            </w:tcBorders>
          </w:tcPr>
          <w:p w14:paraId="656509BF" w14:textId="0924F54C" w:rsidR="00371583" w:rsidRPr="00B82F81" w:rsidRDefault="00371583" w:rsidP="00000398">
            <w:pPr>
              <w:rPr>
                <w:rFonts w:ascii="Arial" w:hAnsi="Arial" w:cs="Arial"/>
                <w:lang w:val="en-GB"/>
              </w:rPr>
            </w:pPr>
            <w:r w:rsidRPr="00B82F81">
              <w:rPr>
                <w:rFonts w:ascii="Arial" w:hAnsi="Arial" w:cs="Arial"/>
                <w:lang w:val="en-GB"/>
              </w:rPr>
              <w:t>Case Study on the Use of an Integrated Approach to Testing and Assessment for Identifying Estrogen Receptor Active Chemicals</w:t>
            </w:r>
          </w:p>
        </w:tc>
        <w:tc>
          <w:tcPr>
            <w:tcW w:w="2154" w:type="dxa"/>
            <w:tcBorders>
              <w:top w:val="single" w:sz="4" w:space="0" w:color="auto"/>
              <w:left w:val="single" w:sz="4" w:space="0" w:color="auto"/>
              <w:bottom w:val="single" w:sz="4" w:space="0" w:color="auto"/>
              <w:right w:val="single" w:sz="4" w:space="0" w:color="auto"/>
            </w:tcBorders>
          </w:tcPr>
          <w:p w14:paraId="7033D6F3" w14:textId="4DA8BFE6" w:rsidR="00371583" w:rsidRPr="00B82F81" w:rsidRDefault="00395EA3" w:rsidP="00000398">
            <w:pPr>
              <w:rPr>
                <w:rFonts w:ascii="Arial" w:hAnsi="Arial" w:cs="Arial"/>
                <w:lang w:val="en-GB"/>
              </w:rPr>
            </w:pPr>
            <w:r w:rsidRPr="00B82F81">
              <w:rPr>
                <w:rFonts w:ascii="Arial" w:hAnsi="Arial" w:cs="Arial"/>
                <w:lang w:val="en-GB"/>
              </w:rPr>
              <w:t xml:space="preserve">1.2. Target Chemical, Page </w:t>
            </w:r>
            <w:hyperlink r:id="rId79" w:anchor="page=13" w:history="1">
              <w:r w:rsidRPr="00B82F81">
                <w:rPr>
                  <w:rStyle w:val="Hyperlink"/>
                  <w:rFonts w:ascii="Arial" w:hAnsi="Arial" w:cs="Arial"/>
                  <w:lang w:val="en-GB"/>
                </w:rPr>
                <w:t>13</w:t>
              </w:r>
            </w:hyperlink>
          </w:p>
        </w:tc>
        <w:tc>
          <w:tcPr>
            <w:tcW w:w="2154" w:type="dxa"/>
            <w:tcBorders>
              <w:top w:val="single" w:sz="4" w:space="0" w:color="auto"/>
              <w:left w:val="single" w:sz="4" w:space="0" w:color="auto"/>
              <w:bottom w:val="single" w:sz="4" w:space="0" w:color="auto"/>
              <w:right w:val="single" w:sz="4" w:space="0" w:color="auto"/>
            </w:tcBorders>
          </w:tcPr>
          <w:p w14:paraId="0FCA1E11" w14:textId="4970451B" w:rsidR="00371583" w:rsidRPr="00B82F81" w:rsidRDefault="00B82F81" w:rsidP="00000398">
            <w:pPr>
              <w:rPr>
                <w:rFonts w:ascii="Arial" w:hAnsi="Arial" w:cs="Arial"/>
                <w:lang w:val="en-GB"/>
              </w:rPr>
            </w:pPr>
            <w:r>
              <w:rPr>
                <w:rFonts w:ascii="Arial" w:hAnsi="Arial" w:cs="Arial"/>
                <w:lang w:val="en-GB"/>
              </w:rPr>
              <w:t>2</w:t>
            </w:r>
            <w:r w:rsidR="00371583" w:rsidRPr="00B82F81">
              <w:rPr>
                <w:rFonts w:ascii="Arial" w:hAnsi="Arial" w:cs="Arial"/>
                <w:lang w:val="en-GB"/>
              </w:rPr>
              <w:t>. Purpose: target chemical</w:t>
            </w:r>
          </w:p>
        </w:tc>
        <w:tc>
          <w:tcPr>
            <w:tcW w:w="4139" w:type="dxa"/>
            <w:tcBorders>
              <w:top w:val="single" w:sz="4" w:space="0" w:color="auto"/>
              <w:left w:val="single" w:sz="4" w:space="0" w:color="auto"/>
              <w:bottom w:val="single" w:sz="4" w:space="0" w:color="auto"/>
              <w:right w:val="single" w:sz="4" w:space="0" w:color="auto"/>
            </w:tcBorders>
          </w:tcPr>
          <w:p w14:paraId="57F03A55" w14:textId="4BA5E96C" w:rsidR="00371583" w:rsidRPr="00B82F81" w:rsidRDefault="005E2995" w:rsidP="00395EA3">
            <w:pPr>
              <w:rPr>
                <w:rFonts w:ascii="Arial" w:hAnsi="Arial" w:cs="Arial"/>
                <w:lang w:val="en-GB"/>
              </w:rPr>
            </w:pPr>
            <w:r w:rsidRPr="005E2995">
              <w:rPr>
                <w:rFonts w:ascii="Arial" w:hAnsi="Arial" w:cs="Arial"/>
                <w:lang w:val="en-GB"/>
              </w:rPr>
              <w:t xml:space="preserve">The section includes a clear and concise description of the target chemicals </w:t>
            </w:r>
            <w:r w:rsidR="00395EA3" w:rsidRPr="00B82F81">
              <w:rPr>
                <w:rFonts w:ascii="Arial" w:hAnsi="Arial" w:cs="Arial"/>
                <w:lang w:val="en-GB"/>
              </w:rPr>
              <w:t>that there are no specific target chemicals.</w:t>
            </w:r>
          </w:p>
        </w:tc>
      </w:tr>
      <w:tr w:rsidR="004860C4" w:rsidRPr="00B82F81" w14:paraId="48F8A3A2" w14:textId="77777777" w:rsidTr="005F0883">
        <w:tc>
          <w:tcPr>
            <w:tcW w:w="907" w:type="dxa"/>
            <w:tcBorders>
              <w:top w:val="single" w:sz="4" w:space="0" w:color="auto"/>
              <w:left w:val="single" w:sz="4" w:space="0" w:color="auto"/>
              <w:bottom w:val="single" w:sz="4" w:space="0" w:color="auto"/>
              <w:right w:val="single" w:sz="4" w:space="0" w:color="auto"/>
            </w:tcBorders>
          </w:tcPr>
          <w:p w14:paraId="38571D0F" w14:textId="5985AF27" w:rsidR="004860C4" w:rsidRPr="004860C4" w:rsidRDefault="004860C4" w:rsidP="004860C4">
            <w:pPr>
              <w:rPr>
                <w:rFonts w:ascii="Arial" w:hAnsi="Arial" w:cs="Arial"/>
              </w:rPr>
            </w:pPr>
            <w:r>
              <w:rPr>
                <w:rFonts w:ascii="Arial" w:hAnsi="Arial" w:cs="Arial"/>
              </w:rPr>
              <w:t>2015-1</w:t>
            </w:r>
          </w:p>
        </w:tc>
        <w:tc>
          <w:tcPr>
            <w:tcW w:w="4139" w:type="dxa"/>
            <w:tcBorders>
              <w:top w:val="single" w:sz="4" w:space="0" w:color="auto"/>
              <w:left w:val="single" w:sz="4" w:space="0" w:color="auto"/>
              <w:bottom w:val="single" w:sz="4" w:space="0" w:color="auto"/>
              <w:right w:val="single" w:sz="4" w:space="0" w:color="auto"/>
            </w:tcBorders>
          </w:tcPr>
          <w:p w14:paraId="01029388" w14:textId="789D45D4" w:rsidR="004860C4" w:rsidRPr="004860C4" w:rsidRDefault="004860C4" w:rsidP="004860C4">
            <w:pPr>
              <w:rPr>
                <w:rFonts w:ascii="Arial" w:hAnsi="Arial" w:cs="Arial"/>
              </w:rPr>
            </w:pPr>
            <w:r w:rsidRPr="00B416C6">
              <w:rPr>
                <w:rFonts w:ascii="Arial" w:hAnsi="Arial" w:cs="Arial"/>
              </w:rPr>
              <w:t>In Vitro Mutagenicity of 3,3’ Dimethoxybenzidine (DMOB) Based Direct Dyes</w:t>
            </w:r>
          </w:p>
        </w:tc>
        <w:tc>
          <w:tcPr>
            <w:tcW w:w="2154" w:type="dxa"/>
            <w:tcBorders>
              <w:top w:val="single" w:sz="4" w:space="0" w:color="auto"/>
              <w:left w:val="single" w:sz="4" w:space="0" w:color="auto"/>
              <w:bottom w:val="single" w:sz="4" w:space="0" w:color="auto"/>
              <w:right w:val="single" w:sz="4" w:space="0" w:color="auto"/>
            </w:tcBorders>
          </w:tcPr>
          <w:p w14:paraId="5AE27C08" w14:textId="2339C37A" w:rsidR="004860C4" w:rsidRPr="004860C4" w:rsidRDefault="004860C4" w:rsidP="004860C4">
            <w:pPr>
              <w:rPr>
                <w:rFonts w:ascii="Arial" w:hAnsi="Arial" w:cs="Arial"/>
              </w:rPr>
            </w:pPr>
            <w:r w:rsidRPr="00D01908">
              <w:rPr>
                <w:rFonts w:ascii="Arial" w:hAnsi="Arial" w:cs="Arial"/>
              </w:rPr>
              <w:t>1.1. Purpose of use</w:t>
            </w:r>
            <w:r w:rsidR="00485DFF">
              <w:rPr>
                <w:rFonts w:ascii="Arial" w:hAnsi="Arial" w:cs="Arial"/>
              </w:rPr>
              <w:t xml:space="preserve">, Page </w:t>
            </w:r>
            <w:hyperlink r:id="rId80" w:anchor="page=10" w:history="1">
              <w:r w:rsidR="00485DFF" w:rsidRPr="00485DFF">
                <w:rPr>
                  <w:rStyle w:val="Hyperlink"/>
                  <w:rFonts w:ascii="Arial" w:hAnsi="Arial" w:cs="Arial"/>
                </w:rPr>
                <w:t>10</w:t>
              </w:r>
            </w:hyperlink>
          </w:p>
        </w:tc>
        <w:tc>
          <w:tcPr>
            <w:tcW w:w="2154" w:type="dxa"/>
            <w:tcBorders>
              <w:top w:val="single" w:sz="4" w:space="0" w:color="auto"/>
              <w:left w:val="single" w:sz="4" w:space="0" w:color="auto"/>
              <w:bottom w:val="single" w:sz="4" w:space="0" w:color="auto"/>
              <w:right w:val="single" w:sz="4" w:space="0" w:color="auto"/>
            </w:tcBorders>
          </w:tcPr>
          <w:p w14:paraId="3DBD1E84" w14:textId="11E23801" w:rsidR="004860C4" w:rsidRPr="004860C4" w:rsidRDefault="004860C4" w:rsidP="005E2995">
            <w:pPr>
              <w:rPr>
                <w:rFonts w:ascii="Arial" w:hAnsi="Arial" w:cs="Arial"/>
              </w:rPr>
            </w:pPr>
            <w:r w:rsidRPr="00B416C6">
              <w:rPr>
                <w:rFonts w:ascii="Arial" w:hAnsi="Arial" w:cs="Arial"/>
              </w:rPr>
              <w:t>2. Purpose</w:t>
            </w:r>
            <w:r w:rsidR="00B82F81">
              <w:rPr>
                <w:rFonts w:ascii="Arial" w:hAnsi="Arial" w:cs="Arial"/>
              </w:rPr>
              <w:t xml:space="preserve">;  </w:t>
            </w:r>
            <w:r w:rsidR="00B82F81" w:rsidRPr="00B82F81">
              <w:rPr>
                <w:rFonts w:ascii="Arial" w:hAnsi="Arial" w:cs="Arial"/>
              </w:rPr>
              <w:t>Purpose of use</w:t>
            </w:r>
          </w:p>
        </w:tc>
        <w:tc>
          <w:tcPr>
            <w:tcW w:w="4139" w:type="dxa"/>
            <w:tcBorders>
              <w:top w:val="single" w:sz="4" w:space="0" w:color="auto"/>
              <w:left w:val="single" w:sz="4" w:space="0" w:color="auto"/>
              <w:bottom w:val="single" w:sz="4" w:space="0" w:color="auto"/>
              <w:right w:val="single" w:sz="4" w:space="0" w:color="auto"/>
            </w:tcBorders>
          </w:tcPr>
          <w:p w14:paraId="1B488A91" w14:textId="5A4F18E0" w:rsidR="004860C4" w:rsidRPr="004860C4" w:rsidRDefault="005E2995" w:rsidP="004860C4">
            <w:pPr>
              <w:rPr>
                <w:rFonts w:ascii="Arial" w:hAnsi="Arial" w:cs="Arial"/>
              </w:rPr>
            </w:pPr>
            <w:r w:rsidRPr="00D01908">
              <w:rPr>
                <w:rFonts w:ascii="Arial" w:hAnsi="Arial" w:cs="Arial"/>
              </w:rPr>
              <w:t xml:space="preserve">The </w:t>
            </w:r>
            <w:r>
              <w:rPr>
                <w:rFonts w:ascii="Arial" w:hAnsi="Arial" w:cs="Arial"/>
              </w:rPr>
              <w:t xml:space="preserve">section provides a clear and </w:t>
            </w:r>
            <w:r w:rsidRPr="009D4DC5">
              <w:rPr>
                <w:rFonts w:ascii="Arial" w:hAnsi="Arial" w:cs="Arial"/>
              </w:rPr>
              <w:t>concise</w:t>
            </w:r>
            <w:r>
              <w:rPr>
                <w:rFonts w:ascii="Arial" w:hAnsi="Arial" w:cs="Arial"/>
              </w:rPr>
              <w:t xml:space="preserve"> overview of the purpose of use including the regulatory purpose. This helps the readers understand how much extent of the uncertainty is </w:t>
            </w:r>
            <w:r w:rsidRPr="00D01908">
              <w:rPr>
                <w:rFonts w:ascii="Arial" w:hAnsi="Arial" w:cs="Arial"/>
              </w:rPr>
              <w:t>acceptable</w:t>
            </w:r>
            <w:r>
              <w:rPr>
                <w:rFonts w:ascii="Arial" w:hAnsi="Arial" w:cs="Arial"/>
              </w:rPr>
              <w:t xml:space="preserve"> in</w:t>
            </w:r>
            <w:r w:rsidRPr="00D01908">
              <w:rPr>
                <w:rFonts w:ascii="Arial" w:hAnsi="Arial" w:cs="Arial"/>
              </w:rPr>
              <w:t xml:space="preserve"> the case study, which could be linked to the uncertainty assessment</w:t>
            </w:r>
            <w:r>
              <w:rPr>
                <w:rFonts w:ascii="Arial" w:hAnsi="Arial" w:cs="Arial"/>
              </w:rPr>
              <w:t>.</w:t>
            </w:r>
          </w:p>
        </w:tc>
      </w:tr>
      <w:tr w:rsidR="004860C4" w:rsidRPr="00B82F81" w14:paraId="0BA0AE35" w14:textId="77777777" w:rsidTr="005F0883">
        <w:tc>
          <w:tcPr>
            <w:tcW w:w="907" w:type="dxa"/>
            <w:tcBorders>
              <w:top w:val="single" w:sz="4" w:space="0" w:color="auto"/>
              <w:left w:val="single" w:sz="4" w:space="0" w:color="auto"/>
              <w:bottom w:val="single" w:sz="4" w:space="0" w:color="auto"/>
              <w:right w:val="single" w:sz="4" w:space="0" w:color="auto"/>
            </w:tcBorders>
          </w:tcPr>
          <w:p w14:paraId="49271FB9" w14:textId="4ECF7732" w:rsidR="004860C4" w:rsidRPr="004860C4" w:rsidRDefault="004860C4" w:rsidP="004860C4">
            <w:pPr>
              <w:rPr>
                <w:rFonts w:ascii="Arial" w:hAnsi="Arial" w:cs="Arial"/>
              </w:rPr>
            </w:pPr>
            <w:r>
              <w:rPr>
                <w:rFonts w:ascii="Arial" w:hAnsi="Arial" w:cs="Arial"/>
              </w:rPr>
              <w:t>2015-2</w:t>
            </w:r>
          </w:p>
        </w:tc>
        <w:tc>
          <w:tcPr>
            <w:tcW w:w="4139" w:type="dxa"/>
            <w:tcBorders>
              <w:top w:val="single" w:sz="4" w:space="0" w:color="auto"/>
              <w:left w:val="single" w:sz="4" w:space="0" w:color="auto"/>
              <w:bottom w:val="single" w:sz="4" w:space="0" w:color="auto"/>
              <w:right w:val="single" w:sz="4" w:space="0" w:color="auto"/>
            </w:tcBorders>
          </w:tcPr>
          <w:p w14:paraId="7CF8D2F8" w14:textId="081C87B1" w:rsidR="004860C4" w:rsidRPr="004860C4" w:rsidRDefault="004860C4" w:rsidP="004860C4">
            <w:pPr>
              <w:rPr>
                <w:rFonts w:ascii="Arial" w:hAnsi="Arial" w:cs="Arial"/>
              </w:rPr>
            </w:pPr>
            <w:r w:rsidRPr="00B416C6">
              <w:rPr>
                <w:rFonts w:ascii="Arial" w:hAnsi="Arial" w:cs="Arial"/>
              </w:rPr>
              <w:t>Repeat Dose Toxicity of Substituted Diphenylamines (SDPA)</w:t>
            </w:r>
          </w:p>
        </w:tc>
        <w:tc>
          <w:tcPr>
            <w:tcW w:w="2154" w:type="dxa"/>
            <w:tcBorders>
              <w:top w:val="single" w:sz="4" w:space="0" w:color="auto"/>
              <w:left w:val="single" w:sz="4" w:space="0" w:color="auto"/>
              <w:bottom w:val="single" w:sz="4" w:space="0" w:color="auto"/>
              <w:right w:val="single" w:sz="4" w:space="0" w:color="auto"/>
            </w:tcBorders>
          </w:tcPr>
          <w:p w14:paraId="70C28155" w14:textId="470C9AA3" w:rsidR="004860C4" w:rsidRPr="004860C4" w:rsidRDefault="004860C4" w:rsidP="004860C4">
            <w:pPr>
              <w:rPr>
                <w:rFonts w:ascii="Arial" w:hAnsi="Arial" w:cs="Arial"/>
              </w:rPr>
            </w:pPr>
            <w:r w:rsidRPr="00D01908">
              <w:rPr>
                <w:rFonts w:ascii="Arial" w:hAnsi="Arial" w:cs="Arial"/>
              </w:rPr>
              <w:t>1.1. Purpose of use</w:t>
            </w:r>
            <w:r w:rsidR="00485DFF">
              <w:rPr>
                <w:rFonts w:ascii="Arial" w:hAnsi="Arial" w:cs="Arial"/>
              </w:rPr>
              <w:t xml:space="preserve">, Page </w:t>
            </w:r>
            <w:hyperlink r:id="rId81" w:anchor="page=9" w:history="1">
              <w:r w:rsidR="00485DFF" w:rsidRPr="00485DFF">
                <w:rPr>
                  <w:rStyle w:val="Hyperlink"/>
                  <w:rFonts w:ascii="Arial" w:hAnsi="Arial" w:cs="Arial"/>
                </w:rPr>
                <w:t>9</w:t>
              </w:r>
            </w:hyperlink>
          </w:p>
        </w:tc>
        <w:tc>
          <w:tcPr>
            <w:tcW w:w="2154" w:type="dxa"/>
            <w:tcBorders>
              <w:top w:val="single" w:sz="4" w:space="0" w:color="auto"/>
              <w:left w:val="single" w:sz="4" w:space="0" w:color="auto"/>
              <w:bottom w:val="single" w:sz="4" w:space="0" w:color="auto"/>
              <w:right w:val="single" w:sz="4" w:space="0" w:color="auto"/>
            </w:tcBorders>
          </w:tcPr>
          <w:p w14:paraId="70E882DA" w14:textId="58E82603" w:rsidR="004860C4" w:rsidRPr="004860C4" w:rsidRDefault="004860C4" w:rsidP="00B82F81">
            <w:pPr>
              <w:rPr>
                <w:rFonts w:ascii="Arial" w:hAnsi="Arial" w:cs="Arial"/>
              </w:rPr>
            </w:pPr>
            <w:r w:rsidRPr="00B416C6">
              <w:rPr>
                <w:rFonts w:ascii="Arial" w:hAnsi="Arial" w:cs="Arial"/>
              </w:rPr>
              <w:t>2. Purpose</w:t>
            </w:r>
            <w:r w:rsidR="00B82F81">
              <w:rPr>
                <w:rFonts w:ascii="Arial" w:hAnsi="Arial" w:cs="Arial"/>
              </w:rPr>
              <w:t>;</w:t>
            </w:r>
            <w:r w:rsidR="005E2995">
              <w:rPr>
                <w:rFonts w:ascii="Arial" w:hAnsi="Arial" w:cs="Arial"/>
              </w:rPr>
              <w:t xml:space="preserve"> </w:t>
            </w:r>
            <w:r w:rsidR="00B82F81" w:rsidRPr="00B82F81">
              <w:rPr>
                <w:rFonts w:ascii="Arial" w:hAnsi="Arial" w:cs="Arial"/>
              </w:rPr>
              <w:t>Purpose of use</w:t>
            </w:r>
          </w:p>
        </w:tc>
        <w:tc>
          <w:tcPr>
            <w:tcW w:w="4139" w:type="dxa"/>
            <w:tcBorders>
              <w:top w:val="single" w:sz="4" w:space="0" w:color="auto"/>
              <w:left w:val="single" w:sz="4" w:space="0" w:color="auto"/>
              <w:bottom w:val="single" w:sz="4" w:space="0" w:color="auto"/>
              <w:right w:val="single" w:sz="4" w:space="0" w:color="auto"/>
            </w:tcBorders>
          </w:tcPr>
          <w:p w14:paraId="22F0D178" w14:textId="54469AB3" w:rsidR="004860C4" w:rsidRPr="004860C4" w:rsidRDefault="005E2995" w:rsidP="004860C4">
            <w:pPr>
              <w:rPr>
                <w:rFonts w:ascii="Arial" w:hAnsi="Arial" w:cs="Arial"/>
              </w:rPr>
            </w:pPr>
            <w:r w:rsidRPr="00D01908">
              <w:rPr>
                <w:rFonts w:ascii="Arial" w:hAnsi="Arial" w:cs="Arial"/>
              </w:rPr>
              <w:t xml:space="preserve">The </w:t>
            </w:r>
            <w:r>
              <w:rPr>
                <w:rFonts w:ascii="Arial" w:hAnsi="Arial" w:cs="Arial"/>
              </w:rPr>
              <w:t xml:space="preserve">section provides a clear and </w:t>
            </w:r>
            <w:r w:rsidRPr="009D4DC5">
              <w:rPr>
                <w:rFonts w:ascii="Arial" w:hAnsi="Arial" w:cs="Arial"/>
              </w:rPr>
              <w:t>concise</w:t>
            </w:r>
            <w:r>
              <w:rPr>
                <w:rFonts w:ascii="Arial" w:hAnsi="Arial" w:cs="Arial"/>
              </w:rPr>
              <w:t xml:space="preserve"> overview of the purpose of use including the regulatory purpose. This helps the readers understand how much extent of </w:t>
            </w:r>
            <w:r>
              <w:rPr>
                <w:rFonts w:ascii="Arial" w:hAnsi="Arial" w:cs="Arial"/>
              </w:rPr>
              <w:lastRenderedPageBreak/>
              <w:t xml:space="preserve">the uncertainty is </w:t>
            </w:r>
            <w:r w:rsidRPr="00D01908">
              <w:rPr>
                <w:rFonts w:ascii="Arial" w:hAnsi="Arial" w:cs="Arial"/>
              </w:rPr>
              <w:t>acceptable</w:t>
            </w:r>
            <w:r>
              <w:rPr>
                <w:rFonts w:ascii="Arial" w:hAnsi="Arial" w:cs="Arial"/>
              </w:rPr>
              <w:t xml:space="preserve"> in</w:t>
            </w:r>
            <w:r w:rsidRPr="00D01908">
              <w:rPr>
                <w:rFonts w:ascii="Arial" w:hAnsi="Arial" w:cs="Arial"/>
              </w:rPr>
              <w:t xml:space="preserve"> the case study, which could be linked to the uncertainty assessment</w:t>
            </w:r>
            <w:r>
              <w:rPr>
                <w:rFonts w:ascii="Arial" w:hAnsi="Arial" w:cs="Arial"/>
              </w:rPr>
              <w:t>.</w:t>
            </w:r>
          </w:p>
        </w:tc>
      </w:tr>
      <w:tr w:rsidR="00000398" w:rsidRPr="00B82F81" w14:paraId="55258DB7" w14:textId="77777777" w:rsidTr="005F0883">
        <w:tc>
          <w:tcPr>
            <w:tcW w:w="907" w:type="dxa"/>
            <w:tcBorders>
              <w:top w:val="single" w:sz="4" w:space="0" w:color="auto"/>
              <w:left w:val="single" w:sz="4" w:space="0" w:color="auto"/>
              <w:bottom w:val="single" w:sz="4" w:space="0" w:color="auto"/>
              <w:right w:val="single" w:sz="4" w:space="0" w:color="auto"/>
            </w:tcBorders>
          </w:tcPr>
          <w:p w14:paraId="08839013" w14:textId="001D05D6" w:rsidR="00000398" w:rsidRPr="00B82F81" w:rsidRDefault="00000398" w:rsidP="00000398">
            <w:pPr>
              <w:rPr>
                <w:rFonts w:ascii="Arial" w:hAnsi="Arial" w:cs="Arial"/>
                <w:lang w:val="en-GB"/>
              </w:rPr>
            </w:pPr>
            <w:r w:rsidRPr="00B82F81">
              <w:rPr>
                <w:rFonts w:ascii="Arial" w:hAnsi="Arial" w:cs="Arial"/>
                <w:lang w:val="en-GB"/>
              </w:rPr>
              <w:lastRenderedPageBreak/>
              <w:t>2019-4</w:t>
            </w:r>
          </w:p>
        </w:tc>
        <w:tc>
          <w:tcPr>
            <w:tcW w:w="4139" w:type="dxa"/>
            <w:tcBorders>
              <w:top w:val="single" w:sz="4" w:space="0" w:color="auto"/>
              <w:left w:val="single" w:sz="4" w:space="0" w:color="auto"/>
              <w:bottom w:val="single" w:sz="4" w:space="0" w:color="auto"/>
              <w:right w:val="single" w:sz="4" w:space="0" w:color="auto"/>
            </w:tcBorders>
          </w:tcPr>
          <w:p w14:paraId="3A3AEFA3" w14:textId="747581D6" w:rsidR="00000398" w:rsidRPr="00B82F81" w:rsidRDefault="00000398" w:rsidP="00000398">
            <w:pPr>
              <w:rPr>
                <w:rFonts w:ascii="Arial" w:hAnsi="Arial" w:cs="Arial"/>
                <w:lang w:val="en-GB"/>
              </w:rPr>
            </w:pPr>
            <w:r w:rsidRPr="00B82F81">
              <w:rPr>
                <w:rFonts w:ascii="Arial" w:hAnsi="Arial" w:cs="Arial"/>
                <w:lang w:val="en-GB"/>
              </w:rPr>
              <w:t>Case Study on the Use of Integrated Approaches for Testing and Assessment for Repeated-Dose Toxicity of p-Alkylphenols</w:t>
            </w:r>
          </w:p>
        </w:tc>
        <w:tc>
          <w:tcPr>
            <w:tcW w:w="2154" w:type="dxa"/>
            <w:tcBorders>
              <w:top w:val="single" w:sz="4" w:space="0" w:color="auto"/>
              <w:left w:val="single" w:sz="4" w:space="0" w:color="auto"/>
              <w:bottom w:val="single" w:sz="4" w:space="0" w:color="auto"/>
              <w:right w:val="single" w:sz="4" w:space="0" w:color="auto"/>
            </w:tcBorders>
          </w:tcPr>
          <w:p w14:paraId="020805AD" w14:textId="1F8767F4" w:rsidR="00000398" w:rsidRPr="00B82F81" w:rsidRDefault="00000398" w:rsidP="00000398">
            <w:pPr>
              <w:rPr>
                <w:rFonts w:ascii="Arial" w:hAnsi="Arial" w:cs="Arial"/>
                <w:lang w:val="en-GB"/>
              </w:rPr>
            </w:pPr>
            <w:r w:rsidRPr="00B82F81">
              <w:rPr>
                <w:rFonts w:ascii="Arial" w:hAnsi="Arial" w:cs="Arial"/>
                <w:lang w:val="en-GB"/>
              </w:rPr>
              <w:t>Read-across workflow in this case study, Fig.1</w:t>
            </w:r>
          </w:p>
        </w:tc>
        <w:tc>
          <w:tcPr>
            <w:tcW w:w="2154" w:type="dxa"/>
            <w:tcBorders>
              <w:top w:val="single" w:sz="4" w:space="0" w:color="auto"/>
              <w:left w:val="single" w:sz="4" w:space="0" w:color="auto"/>
              <w:bottom w:val="single" w:sz="4" w:space="0" w:color="auto"/>
              <w:right w:val="single" w:sz="4" w:space="0" w:color="auto"/>
            </w:tcBorders>
          </w:tcPr>
          <w:p w14:paraId="08CE7FF0" w14:textId="6373ED00" w:rsidR="00000398" w:rsidRPr="00B82F81" w:rsidRDefault="00B82F81" w:rsidP="00000398">
            <w:pPr>
              <w:rPr>
                <w:rFonts w:ascii="Arial" w:hAnsi="Arial" w:cs="Arial"/>
                <w:lang w:val="en-GB"/>
              </w:rPr>
            </w:pPr>
            <w:r>
              <w:rPr>
                <w:rFonts w:ascii="Arial" w:hAnsi="Arial" w:cs="Arial"/>
                <w:lang w:val="en-GB"/>
              </w:rPr>
              <w:t>3</w:t>
            </w:r>
            <w:r w:rsidR="00000398" w:rsidRPr="00B82F81">
              <w:rPr>
                <w:rFonts w:ascii="Arial" w:hAnsi="Arial" w:cs="Arial"/>
                <w:lang w:val="en-GB"/>
              </w:rPr>
              <w:t>. Hypothesis for performing IATA; Figure for a Workflow</w:t>
            </w:r>
          </w:p>
        </w:tc>
        <w:tc>
          <w:tcPr>
            <w:tcW w:w="4139" w:type="dxa"/>
            <w:tcBorders>
              <w:top w:val="single" w:sz="4" w:space="0" w:color="auto"/>
              <w:left w:val="single" w:sz="4" w:space="0" w:color="auto"/>
              <w:bottom w:val="single" w:sz="4" w:space="0" w:color="auto"/>
              <w:right w:val="single" w:sz="4" w:space="0" w:color="auto"/>
            </w:tcBorders>
          </w:tcPr>
          <w:p w14:paraId="750ED59B" w14:textId="33C4635B" w:rsidR="00000398" w:rsidRPr="00B82F81" w:rsidRDefault="00000398" w:rsidP="005E2995">
            <w:pPr>
              <w:rPr>
                <w:rFonts w:ascii="Arial" w:hAnsi="Arial" w:cs="Arial"/>
                <w:lang w:val="en-GB"/>
              </w:rPr>
            </w:pPr>
            <w:r w:rsidRPr="00B82F81">
              <w:rPr>
                <w:rFonts w:ascii="Arial" w:hAnsi="Arial" w:cs="Arial"/>
                <w:lang w:val="en-GB"/>
              </w:rPr>
              <w:t xml:space="preserve">The figure </w:t>
            </w:r>
            <w:r w:rsidR="005E2995">
              <w:rPr>
                <w:rFonts w:ascii="Arial" w:hAnsi="Arial" w:cs="Arial"/>
                <w:lang w:val="en-GB"/>
              </w:rPr>
              <w:t>provide a clear and concise workflow</w:t>
            </w:r>
            <w:r w:rsidRPr="00B82F81">
              <w:rPr>
                <w:rFonts w:ascii="Arial" w:hAnsi="Arial" w:cs="Arial"/>
                <w:lang w:val="en-GB"/>
              </w:rPr>
              <w:t xml:space="preserve"> in this case study, which helps to guide the reader through.</w:t>
            </w:r>
          </w:p>
        </w:tc>
      </w:tr>
      <w:tr w:rsidR="00000398" w:rsidRPr="00B82F81" w14:paraId="2822DDE1" w14:textId="77777777" w:rsidTr="005F0883">
        <w:tc>
          <w:tcPr>
            <w:tcW w:w="907" w:type="dxa"/>
            <w:tcBorders>
              <w:top w:val="single" w:sz="4" w:space="0" w:color="auto"/>
              <w:left w:val="single" w:sz="4" w:space="0" w:color="auto"/>
              <w:bottom w:val="single" w:sz="4" w:space="0" w:color="auto"/>
              <w:right w:val="single" w:sz="4" w:space="0" w:color="auto"/>
            </w:tcBorders>
          </w:tcPr>
          <w:p w14:paraId="254ECC05" w14:textId="5B02D731" w:rsidR="00000398" w:rsidRPr="00B82F81" w:rsidRDefault="00000398" w:rsidP="00000398">
            <w:pPr>
              <w:rPr>
                <w:rFonts w:ascii="Arial" w:hAnsi="Arial" w:cs="Arial"/>
                <w:lang w:val="en-GB"/>
              </w:rPr>
            </w:pPr>
            <w:r w:rsidRPr="00B82F81">
              <w:rPr>
                <w:rFonts w:ascii="Arial" w:hAnsi="Arial" w:cs="Arial"/>
                <w:lang w:val="en-GB"/>
              </w:rPr>
              <w:t>2019-5</w:t>
            </w:r>
          </w:p>
        </w:tc>
        <w:tc>
          <w:tcPr>
            <w:tcW w:w="4139" w:type="dxa"/>
            <w:tcBorders>
              <w:top w:val="single" w:sz="4" w:space="0" w:color="auto"/>
              <w:left w:val="single" w:sz="4" w:space="0" w:color="auto"/>
              <w:bottom w:val="single" w:sz="4" w:space="0" w:color="auto"/>
              <w:right w:val="single" w:sz="4" w:space="0" w:color="auto"/>
            </w:tcBorders>
          </w:tcPr>
          <w:p w14:paraId="5AF5962F" w14:textId="170662F9" w:rsidR="00000398" w:rsidRPr="00B82F81" w:rsidRDefault="00000398" w:rsidP="00000398">
            <w:pPr>
              <w:rPr>
                <w:rFonts w:ascii="Arial" w:hAnsi="Arial" w:cs="Arial"/>
                <w:lang w:val="en-GB"/>
              </w:rPr>
            </w:pPr>
            <w:r w:rsidRPr="00B82F81">
              <w:rPr>
                <w:rFonts w:ascii="Arial" w:hAnsi="Arial" w:cs="Arial"/>
                <w:lang w:val="en-GB"/>
              </w:rPr>
              <w:t>Prediction of a 90 day repeated dose toxicity study (OECD 408) for 2-Ethylbutyric acid using a read-across approach to other branched carboxylic acids</w:t>
            </w:r>
          </w:p>
        </w:tc>
        <w:tc>
          <w:tcPr>
            <w:tcW w:w="2154" w:type="dxa"/>
            <w:tcBorders>
              <w:top w:val="single" w:sz="4" w:space="0" w:color="auto"/>
              <w:left w:val="single" w:sz="4" w:space="0" w:color="auto"/>
              <w:bottom w:val="single" w:sz="4" w:space="0" w:color="auto"/>
              <w:right w:val="single" w:sz="4" w:space="0" w:color="auto"/>
            </w:tcBorders>
          </w:tcPr>
          <w:p w14:paraId="1A8F7606" w14:textId="08DDB796" w:rsidR="00000398" w:rsidRPr="00B82F81" w:rsidRDefault="00371583" w:rsidP="00000398">
            <w:pPr>
              <w:rPr>
                <w:rFonts w:ascii="Arial" w:hAnsi="Arial" w:cs="Arial"/>
                <w:lang w:val="en-GB"/>
              </w:rPr>
            </w:pPr>
            <w:r w:rsidRPr="00B82F81">
              <w:rPr>
                <w:rFonts w:ascii="Arial" w:hAnsi="Arial" w:cs="Arial"/>
                <w:lang w:val="en-GB"/>
              </w:rPr>
              <w:t>Overview of the six traditional assessment steps within the read-across assessment, Fig.2</w:t>
            </w:r>
          </w:p>
        </w:tc>
        <w:tc>
          <w:tcPr>
            <w:tcW w:w="2154" w:type="dxa"/>
            <w:tcBorders>
              <w:top w:val="single" w:sz="4" w:space="0" w:color="auto"/>
              <w:left w:val="single" w:sz="4" w:space="0" w:color="auto"/>
              <w:bottom w:val="single" w:sz="4" w:space="0" w:color="auto"/>
              <w:right w:val="single" w:sz="4" w:space="0" w:color="auto"/>
            </w:tcBorders>
          </w:tcPr>
          <w:p w14:paraId="0CAF7BB4" w14:textId="3C9508FA" w:rsidR="00000398" w:rsidRPr="00B82F81" w:rsidRDefault="00B82F81" w:rsidP="00000398">
            <w:pPr>
              <w:rPr>
                <w:rFonts w:ascii="Arial" w:hAnsi="Arial" w:cs="Arial"/>
                <w:lang w:val="en-GB"/>
              </w:rPr>
            </w:pPr>
            <w:r>
              <w:rPr>
                <w:rFonts w:ascii="Arial" w:hAnsi="Arial" w:cs="Arial"/>
                <w:lang w:val="en-GB"/>
              </w:rPr>
              <w:t>3</w:t>
            </w:r>
            <w:r w:rsidR="00000398" w:rsidRPr="00B82F81">
              <w:rPr>
                <w:rFonts w:ascii="Arial" w:hAnsi="Arial" w:cs="Arial"/>
                <w:lang w:val="en-GB"/>
              </w:rPr>
              <w:t>. Hypothesis for performing IATA; Figure for a Workflow</w:t>
            </w:r>
          </w:p>
        </w:tc>
        <w:tc>
          <w:tcPr>
            <w:tcW w:w="4139" w:type="dxa"/>
            <w:tcBorders>
              <w:top w:val="single" w:sz="4" w:space="0" w:color="auto"/>
              <w:left w:val="single" w:sz="4" w:space="0" w:color="auto"/>
              <w:bottom w:val="single" w:sz="4" w:space="0" w:color="auto"/>
              <w:right w:val="single" w:sz="4" w:space="0" w:color="auto"/>
            </w:tcBorders>
          </w:tcPr>
          <w:p w14:paraId="432972B8" w14:textId="1661F056" w:rsidR="00000398" w:rsidRPr="00B82F81" w:rsidRDefault="005E2995" w:rsidP="00000398">
            <w:pPr>
              <w:rPr>
                <w:rFonts w:ascii="Arial" w:hAnsi="Arial" w:cs="Arial"/>
                <w:lang w:val="en-GB"/>
              </w:rPr>
            </w:pPr>
            <w:r w:rsidRPr="00B82F81">
              <w:rPr>
                <w:rFonts w:ascii="Arial" w:hAnsi="Arial" w:cs="Arial"/>
                <w:lang w:val="en-GB"/>
              </w:rPr>
              <w:t xml:space="preserve">The figure </w:t>
            </w:r>
            <w:r>
              <w:rPr>
                <w:rFonts w:ascii="Arial" w:hAnsi="Arial" w:cs="Arial"/>
                <w:lang w:val="en-GB"/>
              </w:rPr>
              <w:t>provide a clear and concise workflow</w:t>
            </w:r>
            <w:r w:rsidRPr="00B82F81">
              <w:rPr>
                <w:rFonts w:ascii="Arial" w:hAnsi="Arial" w:cs="Arial"/>
                <w:lang w:val="en-GB"/>
              </w:rPr>
              <w:t xml:space="preserve"> in this case study, which helps to guide the reader through.</w:t>
            </w:r>
          </w:p>
        </w:tc>
      </w:tr>
      <w:tr w:rsidR="005F0883" w:rsidRPr="00B82F81" w14:paraId="4AD2BDE6" w14:textId="77777777" w:rsidTr="005F0883">
        <w:tc>
          <w:tcPr>
            <w:tcW w:w="907" w:type="dxa"/>
          </w:tcPr>
          <w:p w14:paraId="453B6185" w14:textId="77777777" w:rsidR="005F0883" w:rsidRPr="00B82F81" w:rsidRDefault="005F0883" w:rsidP="00150BEF">
            <w:pPr>
              <w:rPr>
                <w:rFonts w:ascii="Arial" w:hAnsi="Arial" w:cs="Arial"/>
              </w:rPr>
            </w:pPr>
            <w:r>
              <w:rPr>
                <w:rFonts w:ascii="Arial" w:hAnsi="Arial" w:cs="Arial"/>
              </w:rPr>
              <w:t>2020-1</w:t>
            </w:r>
          </w:p>
        </w:tc>
        <w:tc>
          <w:tcPr>
            <w:tcW w:w="4139" w:type="dxa"/>
          </w:tcPr>
          <w:p w14:paraId="12191618" w14:textId="77777777" w:rsidR="005F0883" w:rsidRPr="00B82F81" w:rsidRDefault="005F0883" w:rsidP="00150BEF">
            <w:pPr>
              <w:rPr>
                <w:rFonts w:ascii="Arial" w:hAnsi="Arial" w:cs="Arial"/>
              </w:rPr>
            </w:pPr>
            <w:r w:rsidRPr="005F0883">
              <w:rPr>
                <w:rFonts w:ascii="Arial" w:hAnsi="Arial" w:cs="Arial"/>
              </w:rPr>
              <w:t>use of Integrated Approaches for Testing and Assessment for the Systemic Toxicity of Phenoxyethanol when included at 1% in a body lotion</w:t>
            </w:r>
          </w:p>
        </w:tc>
        <w:tc>
          <w:tcPr>
            <w:tcW w:w="2154" w:type="dxa"/>
          </w:tcPr>
          <w:p w14:paraId="677143F9" w14:textId="77777777" w:rsidR="005F0883" w:rsidRPr="00B82F81" w:rsidRDefault="005F0883" w:rsidP="00150BEF">
            <w:pPr>
              <w:rPr>
                <w:rFonts w:ascii="Arial" w:hAnsi="Arial" w:cs="Arial"/>
              </w:rPr>
            </w:pPr>
            <w:r>
              <w:rPr>
                <w:rFonts w:ascii="Arial" w:hAnsi="Arial" w:cs="Arial"/>
                <w:lang w:val="en-GB"/>
              </w:rPr>
              <w:t>IATA workflow, Fig. 1</w:t>
            </w:r>
          </w:p>
        </w:tc>
        <w:tc>
          <w:tcPr>
            <w:tcW w:w="2154" w:type="dxa"/>
          </w:tcPr>
          <w:p w14:paraId="7F499C91" w14:textId="65CFC4F4" w:rsidR="005F0883" w:rsidRDefault="005F0883" w:rsidP="00150BEF">
            <w:pPr>
              <w:rPr>
                <w:rFonts w:ascii="Arial" w:hAnsi="Arial" w:cs="Arial"/>
              </w:rPr>
            </w:pPr>
            <w:r>
              <w:rPr>
                <w:rFonts w:ascii="Arial" w:hAnsi="Arial" w:cs="Arial"/>
                <w:lang w:val="en-GB"/>
              </w:rPr>
              <w:t>3</w:t>
            </w:r>
            <w:r w:rsidRPr="00B82F81">
              <w:rPr>
                <w:rFonts w:ascii="Arial" w:hAnsi="Arial" w:cs="Arial"/>
                <w:lang w:val="en-GB"/>
              </w:rPr>
              <w:t>. Hypothesis for performing IATA; Figure for a Workflow</w:t>
            </w:r>
          </w:p>
        </w:tc>
        <w:tc>
          <w:tcPr>
            <w:tcW w:w="4139" w:type="dxa"/>
          </w:tcPr>
          <w:p w14:paraId="46086335" w14:textId="178CF5C1" w:rsidR="005F0883" w:rsidRPr="00B82F81" w:rsidRDefault="005F0883" w:rsidP="00150BEF">
            <w:pPr>
              <w:rPr>
                <w:rFonts w:ascii="Arial" w:hAnsi="Arial" w:cs="Arial"/>
              </w:rPr>
            </w:pPr>
            <w:r w:rsidRPr="00B82F81">
              <w:rPr>
                <w:rFonts w:ascii="Arial" w:hAnsi="Arial" w:cs="Arial"/>
                <w:lang w:val="en-GB"/>
              </w:rPr>
              <w:t xml:space="preserve">The figure </w:t>
            </w:r>
            <w:r>
              <w:rPr>
                <w:rFonts w:ascii="Arial" w:hAnsi="Arial" w:cs="Arial"/>
                <w:lang w:val="en-GB"/>
              </w:rPr>
              <w:t>provide a clear and concise workflow</w:t>
            </w:r>
            <w:r w:rsidRPr="00B82F81">
              <w:rPr>
                <w:rFonts w:ascii="Arial" w:hAnsi="Arial" w:cs="Arial"/>
                <w:lang w:val="en-GB"/>
              </w:rPr>
              <w:t xml:space="preserve"> in this case study, which helps to guide the reader through.</w:t>
            </w:r>
          </w:p>
        </w:tc>
      </w:tr>
      <w:tr w:rsidR="008F7E30" w:rsidRPr="00B82F81" w14:paraId="144311D6" w14:textId="77777777" w:rsidTr="005F0883">
        <w:tc>
          <w:tcPr>
            <w:tcW w:w="907" w:type="dxa"/>
            <w:tcBorders>
              <w:top w:val="single" w:sz="4" w:space="0" w:color="auto"/>
              <w:left w:val="single" w:sz="4" w:space="0" w:color="auto"/>
              <w:bottom w:val="single" w:sz="4" w:space="0" w:color="auto"/>
              <w:right w:val="single" w:sz="4" w:space="0" w:color="auto"/>
            </w:tcBorders>
          </w:tcPr>
          <w:p w14:paraId="0569CC9D" w14:textId="47CBE1CA" w:rsidR="008F7E30" w:rsidRPr="00B82F81" w:rsidRDefault="008F7E30" w:rsidP="008F7E30">
            <w:pPr>
              <w:rPr>
                <w:rFonts w:ascii="Arial" w:hAnsi="Arial" w:cs="Arial"/>
                <w:lang w:val="en-GB"/>
              </w:rPr>
            </w:pPr>
            <w:r w:rsidRPr="00B82F81">
              <w:rPr>
                <w:rFonts w:ascii="Arial" w:hAnsi="Arial" w:cs="Arial"/>
                <w:lang w:val="en-GB"/>
              </w:rPr>
              <w:t>2018-2</w:t>
            </w:r>
          </w:p>
        </w:tc>
        <w:tc>
          <w:tcPr>
            <w:tcW w:w="4139" w:type="dxa"/>
            <w:tcBorders>
              <w:top w:val="single" w:sz="4" w:space="0" w:color="auto"/>
              <w:left w:val="single" w:sz="4" w:space="0" w:color="auto"/>
              <w:bottom w:val="single" w:sz="4" w:space="0" w:color="auto"/>
              <w:right w:val="single" w:sz="4" w:space="0" w:color="auto"/>
            </w:tcBorders>
          </w:tcPr>
          <w:p w14:paraId="46DB4C65" w14:textId="73A1D82C" w:rsidR="008F7E30" w:rsidRPr="00B82F81" w:rsidRDefault="008F7E30" w:rsidP="008F7E30">
            <w:pPr>
              <w:rPr>
                <w:rFonts w:ascii="Arial" w:hAnsi="Arial" w:cs="Arial"/>
                <w:lang w:val="en-GB"/>
              </w:rPr>
            </w:pPr>
            <w:r w:rsidRPr="00B82F81">
              <w:rPr>
                <w:rFonts w:ascii="Arial" w:hAnsi="Arial" w:cs="Arial"/>
                <w:lang w:val="en-GB"/>
              </w:rPr>
              <w:t>Case Study on the Use of an Integrated Approach to Testing and Assessment for Identifying Estrogen Receptor Active Chemicals</w:t>
            </w:r>
          </w:p>
        </w:tc>
        <w:tc>
          <w:tcPr>
            <w:tcW w:w="2154" w:type="dxa"/>
            <w:tcBorders>
              <w:top w:val="single" w:sz="4" w:space="0" w:color="auto"/>
              <w:left w:val="single" w:sz="4" w:space="0" w:color="auto"/>
              <w:bottom w:val="single" w:sz="4" w:space="0" w:color="auto"/>
              <w:right w:val="single" w:sz="4" w:space="0" w:color="auto"/>
            </w:tcBorders>
          </w:tcPr>
          <w:p w14:paraId="660EA2B8" w14:textId="05A07AEA" w:rsidR="008F7E30" w:rsidRPr="00B82F81" w:rsidRDefault="008F7E30" w:rsidP="008F7E30">
            <w:pPr>
              <w:rPr>
                <w:rFonts w:ascii="Arial" w:hAnsi="Arial" w:cs="Arial"/>
                <w:lang w:val="en-GB"/>
              </w:rPr>
            </w:pPr>
            <w:r w:rsidRPr="00B82F81">
              <w:rPr>
                <w:rFonts w:ascii="Arial" w:hAnsi="Arial" w:cs="Arial"/>
                <w:lang w:val="en-GB"/>
              </w:rPr>
              <w:t xml:space="preserve">Representation of the ER pathway and computational model, Fig.1, Page </w:t>
            </w:r>
            <w:hyperlink r:id="rId82" w:anchor="page=16" w:history="1">
              <w:r w:rsidRPr="00B82F81">
                <w:rPr>
                  <w:rStyle w:val="Hyperlink"/>
                  <w:rFonts w:ascii="Arial" w:hAnsi="Arial" w:cs="Arial"/>
                  <w:lang w:val="en-GB"/>
                </w:rPr>
                <w:t>16</w:t>
              </w:r>
            </w:hyperlink>
          </w:p>
        </w:tc>
        <w:tc>
          <w:tcPr>
            <w:tcW w:w="2154" w:type="dxa"/>
            <w:tcBorders>
              <w:top w:val="single" w:sz="4" w:space="0" w:color="auto"/>
              <w:left w:val="single" w:sz="4" w:space="0" w:color="auto"/>
              <w:bottom w:val="single" w:sz="4" w:space="0" w:color="auto"/>
              <w:right w:val="single" w:sz="4" w:space="0" w:color="auto"/>
            </w:tcBorders>
          </w:tcPr>
          <w:p w14:paraId="5A85597D" w14:textId="54E9FA69" w:rsidR="008F7E30" w:rsidRPr="00B82F81" w:rsidRDefault="00B82F81" w:rsidP="008F7E30">
            <w:pPr>
              <w:rPr>
                <w:rFonts w:ascii="Arial" w:hAnsi="Arial" w:cs="Arial"/>
                <w:lang w:val="en-GB"/>
              </w:rPr>
            </w:pPr>
            <w:r>
              <w:rPr>
                <w:rFonts w:ascii="Arial" w:hAnsi="Arial" w:cs="Arial"/>
                <w:lang w:val="en-GB"/>
              </w:rPr>
              <w:t>4</w:t>
            </w:r>
            <w:r w:rsidR="008F7E30" w:rsidRPr="00B82F81">
              <w:rPr>
                <w:rFonts w:ascii="Arial" w:hAnsi="Arial" w:cs="Arial"/>
                <w:lang w:val="en-GB"/>
              </w:rPr>
              <w:t>. Approaches Used; AOP</w:t>
            </w:r>
          </w:p>
        </w:tc>
        <w:tc>
          <w:tcPr>
            <w:tcW w:w="4139" w:type="dxa"/>
            <w:tcBorders>
              <w:top w:val="single" w:sz="4" w:space="0" w:color="auto"/>
              <w:left w:val="single" w:sz="4" w:space="0" w:color="auto"/>
              <w:bottom w:val="single" w:sz="4" w:space="0" w:color="auto"/>
              <w:right w:val="single" w:sz="4" w:space="0" w:color="auto"/>
            </w:tcBorders>
          </w:tcPr>
          <w:p w14:paraId="48C6F8C9" w14:textId="4F3CDBC7" w:rsidR="008F7E30" w:rsidRPr="00B82F81" w:rsidRDefault="008F7E30" w:rsidP="005E2995">
            <w:pPr>
              <w:rPr>
                <w:rFonts w:ascii="Arial" w:hAnsi="Arial" w:cs="Arial"/>
                <w:lang w:val="en-GB"/>
              </w:rPr>
            </w:pPr>
            <w:r w:rsidRPr="00B82F81">
              <w:rPr>
                <w:rFonts w:ascii="Arial" w:hAnsi="Arial" w:cs="Arial"/>
                <w:lang w:val="en-GB"/>
              </w:rPr>
              <w:t xml:space="preserve">The figure </w:t>
            </w:r>
            <w:r w:rsidR="005E2995">
              <w:rPr>
                <w:rFonts w:ascii="Arial" w:hAnsi="Arial" w:cs="Arial"/>
                <w:lang w:val="en-GB"/>
              </w:rPr>
              <w:t xml:space="preserve">provides a clear and concise overview of </w:t>
            </w:r>
            <w:r w:rsidRPr="00B82F81">
              <w:rPr>
                <w:rFonts w:ascii="Arial" w:hAnsi="Arial" w:cs="Arial"/>
                <w:lang w:val="en-GB"/>
              </w:rPr>
              <w:t>the putative AOP along with testing for MIE/KE/AO</w:t>
            </w:r>
            <w:r w:rsidR="005E2995">
              <w:rPr>
                <w:rFonts w:ascii="Arial" w:hAnsi="Arial" w:cs="Arial"/>
                <w:lang w:val="en-GB"/>
              </w:rPr>
              <w:t xml:space="preserve"> applied in the case study</w:t>
            </w:r>
            <w:r w:rsidRPr="00B82F81">
              <w:rPr>
                <w:rFonts w:ascii="Arial" w:hAnsi="Arial" w:cs="Arial"/>
                <w:lang w:val="en-GB"/>
              </w:rPr>
              <w:t>, which helps to guide the reader through.</w:t>
            </w:r>
          </w:p>
        </w:tc>
      </w:tr>
      <w:tr w:rsidR="008F7E30" w:rsidRPr="00B82F81" w14:paraId="1FEE7656" w14:textId="77777777" w:rsidTr="005F0883">
        <w:tc>
          <w:tcPr>
            <w:tcW w:w="907" w:type="dxa"/>
            <w:tcBorders>
              <w:top w:val="single" w:sz="4" w:space="0" w:color="auto"/>
              <w:left w:val="single" w:sz="4" w:space="0" w:color="auto"/>
              <w:bottom w:val="single" w:sz="4" w:space="0" w:color="auto"/>
              <w:right w:val="single" w:sz="4" w:space="0" w:color="auto"/>
            </w:tcBorders>
          </w:tcPr>
          <w:p w14:paraId="7DC94800" w14:textId="1313DFC8" w:rsidR="008F7E30" w:rsidRPr="00B82F81" w:rsidRDefault="008F7E30" w:rsidP="008F7E30">
            <w:pPr>
              <w:rPr>
                <w:rFonts w:ascii="Arial" w:hAnsi="Arial" w:cs="Arial"/>
                <w:lang w:val="en-GB"/>
              </w:rPr>
            </w:pPr>
            <w:r w:rsidRPr="00B82F81">
              <w:rPr>
                <w:rFonts w:ascii="Arial" w:hAnsi="Arial" w:cs="Arial"/>
                <w:lang w:val="en-GB"/>
              </w:rPr>
              <w:t>2019-4</w:t>
            </w:r>
          </w:p>
        </w:tc>
        <w:tc>
          <w:tcPr>
            <w:tcW w:w="4139" w:type="dxa"/>
            <w:tcBorders>
              <w:top w:val="single" w:sz="4" w:space="0" w:color="auto"/>
              <w:left w:val="single" w:sz="4" w:space="0" w:color="auto"/>
              <w:bottom w:val="single" w:sz="4" w:space="0" w:color="auto"/>
              <w:right w:val="single" w:sz="4" w:space="0" w:color="auto"/>
            </w:tcBorders>
          </w:tcPr>
          <w:p w14:paraId="2DDC2535" w14:textId="12A24A0A" w:rsidR="008F7E30" w:rsidRPr="00B82F81" w:rsidRDefault="008F7E30" w:rsidP="008F7E30">
            <w:pPr>
              <w:rPr>
                <w:rFonts w:ascii="Arial" w:hAnsi="Arial" w:cs="Arial"/>
                <w:lang w:val="en-GB"/>
              </w:rPr>
            </w:pPr>
            <w:r w:rsidRPr="00B82F81">
              <w:rPr>
                <w:rFonts w:ascii="Arial" w:hAnsi="Arial" w:cs="Arial"/>
                <w:lang w:val="en-GB"/>
              </w:rPr>
              <w:t>Case Study on the Use of Integrated Approaches for Testing and Assessment for Repeated-Dose Toxicity of p-Alkylphenols</w:t>
            </w:r>
          </w:p>
        </w:tc>
        <w:tc>
          <w:tcPr>
            <w:tcW w:w="2154" w:type="dxa"/>
            <w:tcBorders>
              <w:top w:val="single" w:sz="4" w:space="0" w:color="auto"/>
              <w:left w:val="single" w:sz="4" w:space="0" w:color="auto"/>
              <w:bottom w:val="single" w:sz="4" w:space="0" w:color="auto"/>
              <w:right w:val="single" w:sz="4" w:space="0" w:color="auto"/>
            </w:tcBorders>
          </w:tcPr>
          <w:p w14:paraId="718C29CF" w14:textId="3F42FD7D" w:rsidR="008F7E30" w:rsidRPr="00B82F81" w:rsidRDefault="00000398" w:rsidP="008F7E30">
            <w:pPr>
              <w:rPr>
                <w:rFonts w:ascii="Arial" w:hAnsi="Arial" w:cs="Arial"/>
                <w:lang w:val="en-GB"/>
              </w:rPr>
            </w:pPr>
            <w:r w:rsidRPr="00B82F81">
              <w:rPr>
                <w:rFonts w:ascii="Arial" w:hAnsi="Arial" w:cs="Arial"/>
                <w:lang w:val="en-GB"/>
              </w:rPr>
              <w:t>Overview of hepatotoxic mechanism of p-alkylphenols, Fig.3</w:t>
            </w:r>
          </w:p>
        </w:tc>
        <w:tc>
          <w:tcPr>
            <w:tcW w:w="2154" w:type="dxa"/>
            <w:tcBorders>
              <w:top w:val="single" w:sz="4" w:space="0" w:color="auto"/>
              <w:left w:val="single" w:sz="4" w:space="0" w:color="auto"/>
              <w:bottom w:val="single" w:sz="4" w:space="0" w:color="auto"/>
              <w:right w:val="single" w:sz="4" w:space="0" w:color="auto"/>
            </w:tcBorders>
          </w:tcPr>
          <w:p w14:paraId="292CD5F3" w14:textId="65825A29" w:rsidR="008F7E30" w:rsidRPr="00B82F81" w:rsidRDefault="00B82F81" w:rsidP="008F7E30">
            <w:pPr>
              <w:rPr>
                <w:rFonts w:ascii="Arial" w:hAnsi="Arial" w:cs="Arial"/>
                <w:lang w:val="en-GB"/>
              </w:rPr>
            </w:pPr>
            <w:r>
              <w:rPr>
                <w:rFonts w:ascii="Arial" w:hAnsi="Arial" w:cs="Arial"/>
                <w:lang w:val="en-GB"/>
              </w:rPr>
              <w:t>4</w:t>
            </w:r>
            <w:r w:rsidR="008F7E30" w:rsidRPr="00B82F81">
              <w:rPr>
                <w:rFonts w:ascii="Arial" w:hAnsi="Arial" w:cs="Arial"/>
                <w:lang w:val="en-GB"/>
              </w:rPr>
              <w:t>. Approaches Used; AOP</w:t>
            </w:r>
          </w:p>
        </w:tc>
        <w:tc>
          <w:tcPr>
            <w:tcW w:w="4139" w:type="dxa"/>
            <w:tcBorders>
              <w:top w:val="single" w:sz="4" w:space="0" w:color="auto"/>
              <w:left w:val="single" w:sz="4" w:space="0" w:color="auto"/>
              <w:bottom w:val="single" w:sz="4" w:space="0" w:color="auto"/>
              <w:right w:val="single" w:sz="4" w:space="0" w:color="auto"/>
            </w:tcBorders>
          </w:tcPr>
          <w:p w14:paraId="3818868C" w14:textId="5A575CB0" w:rsidR="008F7E30" w:rsidRPr="00B82F81" w:rsidRDefault="005E2995" w:rsidP="008F7E30">
            <w:pPr>
              <w:rPr>
                <w:rFonts w:ascii="Arial" w:hAnsi="Arial" w:cs="Arial"/>
                <w:lang w:val="en-GB"/>
              </w:rPr>
            </w:pPr>
            <w:r w:rsidRPr="00B82F81">
              <w:rPr>
                <w:rFonts w:ascii="Arial" w:hAnsi="Arial" w:cs="Arial"/>
                <w:lang w:val="en-GB"/>
              </w:rPr>
              <w:t xml:space="preserve">The figure </w:t>
            </w:r>
            <w:r>
              <w:rPr>
                <w:rFonts w:ascii="Arial" w:hAnsi="Arial" w:cs="Arial"/>
                <w:lang w:val="en-GB"/>
              </w:rPr>
              <w:t xml:space="preserve">provides a clear and concise overview of </w:t>
            </w:r>
            <w:r w:rsidRPr="00B82F81">
              <w:rPr>
                <w:rFonts w:ascii="Arial" w:hAnsi="Arial" w:cs="Arial"/>
                <w:lang w:val="en-GB"/>
              </w:rPr>
              <w:t>the putative AOP along with testing for MIE/KE/AO</w:t>
            </w:r>
            <w:r>
              <w:rPr>
                <w:rFonts w:ascii="Arial" w:hAnsi="Arial" w:cs="Arial"/>
                <w:lang w:val="en-GB"/>
              </w:rPr>
              <w:t xml:space="preserve"> applied in the case study</w:t>
            </w:r>
            <w:r w:rsidRPr="00B82F81">
              <w:rPr>
                <w:rFonts w:ascii="Arial" w:hAnsi="Arial" w:cs="Arial"/>
                <w:lang w:val="en-GB"/>
              </w:rPr>
              <w:t>, which helps to guide the reader through.</w:t>
            </w:r>
          </w:p>
        </w:tc>
      </w:tr>
      <w:tr w:rsidR="008F7E30" w:rsidRPr="00B82F81" w14:paraId="426BF187" w14:textId="77777777" w:rsidTr="005F0883">
        <w:tc>
          <w:tcPr>
            <w:tcW w:w="907" w:type="dxa"/>
            <w:tcBorders>
              <w:top w:val="single" w:sz="4" w:space="0" w:color="auto"/>
              <w:left w:val="single" w:sz="4" w:space="0" w:color="auto"/>
              <w:bottom w:val="single" w:sz="4" w:space="0" w:color="auto"/>
              <w:right w:val="single" w:sz="4" w:space="0" w:color="auto"/>
            </w:tcBorders>
          </w:tcPr>
          <w:p w14:paraId="46AF8C95" w14:textId="1B7C0C8F" w:rsidR="008F7E30" w:rsidRPr="00B82F81" w:rsidRDefault="008F7E30" w:rsidP="008F7E30">
            <w:pPr>
              <w:rPr>
                <w:rFonts w:ascii="Arial" w:hAnsi="Arial" w:cs="Arial"/>
                <w:lang w:val="en-GB"/>
              </w:rPr>
            </w:pPr>
            <w:r w:rsidRPr="00B82F81">
              <w:rPr>
                <w:rFonts w:ascii="Arial" w:hAnsi="Arial" w:cs="Arial"/>
                <w:lang w:val="en-GB"/>
              </w:rPr>
              <w:t>2019-5</w:t>
            </w:r>
          </w:p>
        </w:tc>
        <w:tc>
          <w:tcPr>
            <w:tcW w:w="4139" w:type="dxa"/>
            <w:tcBorders>
              <w:top w:val="single" w:sz="4" w:space="0" w:color="auto"/>
              <w:left w:val="single" w:sz="4" w:space="0" w:color="auto"/>
              <w:bottom w:val="single" w:sz="4" w:space="0" w:color="auto"/>
              <w:right w:val="single" w:sz="4" w:space="0" w:color="auto"/>
            </w:tcBorders>
          </w:tcPr>
          <w:p w14:paraId="57B110B6" w14:textId="70ADDFAC" w:rsidR="008F7E30" w:rsidRPr="00B82F81" w:rsidRDefault="008F7E30" w:rsidP="008F7E30">
            <w:pPr>
              <w:rPr>
                <w:rFonts w:ascii="Arial" w:hAnsi="Arial" w:cs="Arial"/>
                <w:lang w:val="en-GB"/>
              </w:rPr>
            </w:pPr>
            <w:r w:rsidRPr="00B82F81">
              <w:rPr>
                <w:rFonts w:ascii="Arial" w:hAnsi="Arial" w:cs="Arial"/>
                <w:lang w:val="en-GB"/>
              </w:rPr>
              <w:t>Prediction of a 90 day repeated dose toxicity study (OECD 408) for 2-Ethylbutyric acid using a read-across approach to other branched carboxylic acids</w:t>
            </w:r>
          </w:p>
        </w:tc>
        <w:tc>
          <w:tcPr>
            <w:tcW w:w="2154" w:type="dxa"/>
            <w:tcBorders>
              <w:top w:val="single" w:sz="4" w:space="0" w:color="auto"/>
              <w:left w:val="single" w:sz="4" w:space="0" w:color="auto"/>
              <w:bottom w:val="single" w:sz="4" w:space="0" w:color="auto"/>
              <w:right w:val="single" w:sz="4" w:space="0" w:color="auto"/>
            </w:tcBorders>
          </w:tcPr>
          <w:p w14:paraId="3EDAF520" w14:textId="7112A802" w:rsidR="008F7E30" w:rsidRPr="00B82F81" w:rsidRDefault="00000398" w:rsidP="008F7E30">
            <w:pPr>
              <w:rPr>
                <w:rFonts w:ascii="Arial" w:hAnsi="Arial" w:cs="Arial"/>
                <w:lang w:val="en-GB"/>
              </w:rPr>
            </w:pPr>
            <w:r w:rsidRPr="00B82F81">
              <w:rPr>
                <w:rFonts w:ascii="Arial" w:hAnsi="Arial" w:cs="Arial"/>
                <w:lang w:val="en-GB"/>
              </w:rPr>
              <w:t>Overview on test systems used for hazard characterization, Fig.7</w:t>
            </w:r>
          </w:p>
        </w:tc>
        <w:tc>
          <w:tcPr>
            <w:tcW w:w="2154" w:type="dxa"/>
            <w:tcBorders>
              <w:top w:val="single" w:sz="4" w:space="0" w:color="auto"/>
              <w:left w:val="single" w:sz="4" w:space="0" w:color="auto"/>
              <w:bottom w:val="single" w:sz="4" w:space="0" w:color="auto"/>
              <w:right w:val="single" w:sz="4" w:space="0" w:color="auto"/>
            </w:tcBorders>
          </w:tcPr>
          <w:p w14:paraId="70FAB2C0" w14:textId="180087E9" w:rsidR="008F7E30" w:rsidRPr="00B82F81" w:rsidRDefault="00B82F81" w:rsidP="008F7E30">
            <w:pPr>
              <w:rPr>
                <w:rFonts w:ascii="Arial" w:hAnsi="Arial" w:cs="Arial"/>
                <w:lang w:val="en-GB"/>
              </w:rPr>
            </w:pPr>
            <w:r>
              <w:rPr>
                <w:rFonts w:ascii="Arial" w:hAnsi="Arial" w:cs="Arial"/>
                <w:lang w:val="en-GB"/>
              </w:rPr>
              <w:t>4</w:t>
            </w:r>
            <w:r w:rsidR="008F7E30" w:rsidRPr="00B82F81">
              <w:rPr>
                <w:rFonts w:ascii="Arial" w:hAnsi="Arial" w:cs="Arial"/>
                <w:lang w:val="en-GB"/>
              </w:rPr>
              <w:t>. Approaches Used; AOP</w:t>
            </w:r>
          </w:p>
        </w:tc>
        <w:tc>
          <w:tcPr>
            <w:tcW w:w="4139" w:type="dxa"/>
            <w:tcBorders>
              <w:top w:val="single" w:sz="4" w:space="0" w:color="auto"/>
              <w:left w:val="single" w:sz="4" w:space="0" w:color="auto"/>
              <w:bottom w:val="single" w:sz="4" w:space="0" w:color="auto"/>
              <w:right w:val="single" w:sz="4" w:space="0" w:color="auto"/>
            </w:tcBorders>
          </w:tcPr>
          <w:p w14:paraId="5CA85FB1" w14:textId="1ECEC901" w:rsidR="008F7E30" w:rsidRPr="00B82F81" w:rsidRDefault="005E2995" w:rsidP="008F7E30">
            <w:pPr>
              <w:rPr>
                <w:rFonts w:ascii="Arial" w:hAnsi="Arial" w:cs="Arial"/>
                <w:lang w:val="en-GB"/>
              </w:rPr>
            </w:pPr>
            <w:r w:rsidRPr="00B82F81">
              <w:rPr>
                <w:rFonts w:ascii="Arial" w:hAnsi="Arial" w:cs="Arial"/>
                <w:lang w:val="en-GB"/>
              </w:rPr>
              <w:t xml:space="preserve">The figure </w:t>
            </w:r>
            <w:r>
              <w:rPr>
                <w:rFonts w:ascii="Arial" w:hAnsi="Arial" w:cs="Arial"/>
                <w:lang w:val="en-GB"/>
              </w:rPr>
              <w:t xml:space="preserve">provides a clear and concise overview of </w:t>
            </w:r>
            <w:r w:rsidRPr="00B82F81">
              <w:rPr>
                <w:rFonts w:ascii="Arial" w:hAnsi="Arial" w:cs="Arial"/>
                <w:lang w:val="en-GB"/>
              </w:rPr>
              <w:t>the putative AOP along with testing for MIE/KE/AO</w:t>
            </w:r>
            <w:r>
              <w:rPr>
                <w:rFonts w:ascii="Arial" w:hAnsi="Arial" w:cs="Arial"/>
                <w:lang w:val="en-GB"/>
              </w:rPr>
              <w:t xml:space="preserve"> applied in the case study</w:t>
            </w:r>
            <w:r w:rsidRPr="00B82F81">
              <w:rPr>
                <w:rFonts w:ascii="Arial" w:hAnsi="Arial" w:cs="Arial"/>
                <w:lang w:val="en-GB"/>
              </w:rPr>
              <w:t>, which helps to guide the reader through.</w:t>
            </w:r>
          </w:p>
        </w:tc>
      </w:tr>
      <w:tr w:rsidR="008F7E30" w:rsidRPr="00B82F81" w14:paraId="4596C872" w14:textId="77777777" w:rsidTr="005F0883">
        <w:tc>
          <w:tcPr>
            <w:tcW w:w="907" w:type="dxa"/>
            <w:tcBorders>
              <w:top w:val="single" w:sz="4" w:space="0" w:color="auto"/>
              <w:left w:val="single" w:sz="4" w:space="0" w:color="auto"/>
              <w:bottom w:val="single" w:sz="4" w:space="0" w:color="auto"/>
              <w:right w:val="single" w:sz="4" w:space="0" w:color="auto"/>
            </w:tcBorders>
          </w:tcPr>
          <w:p w14:paraId="1E801B3A" w14:textId="1F68E0FD" w:rsidR="008F7E30" w:rsidRPr="00B82F81" w:rsidRDefault="008F7E30" w:rsidP="008F7E30">
            <w:pPr>
              <w:rPr>
                <w:rFonts w:ascii="Arial" w:hAnsi="Arial" w:cs="Arial"/>
                <w:lang w:val="en-GB"/>
              </w:rPr>
            </w:pPr>
            <w:r w:rsidRPr="00B82F81">
              <w:rPr>
                <w:rFonts w:ascii="Arial" w:hAnsi="Arial" w:cs="Arial"/>
                <w:lang w:val="en-GB"/>
              </w:rPr>
              <w:t>2019-7</w:t>
            </w:r>
          </w:p>
        </w:tc>
        <w:tc>
          <w:tcPr>
            <w:tcW w:w="4139" w:type="dxa"/>
            <w:tcBorders>
              <w:top w:val="single" w:sz="4" w:space="0" w:color="auto"/>
              <w:left w:val="single" w:sz="4" w:space="0" w:color="auto"/>
              <w:bottom w:val="single" w:sz="4" w:space="0" w:color="auto"/>
              <w:right w:val="single" w:sz="4" w:space="0" w:color="auto"/>
            </w:tcBorders>
          </w:tcPr>
          <w:p w14:paraId="33A1374B" w14:textId="6EAF676E" w:rsidR="008F7E30" w:rsidRPr="00B82F81" w:rsidRDefault="008F7E30" w:rsidP="008F7E30">
            <w:pPr>
              <w:rPr>
                <w:rFonts w:ascii="Arial" w:hAnsi="Arial" w:cs="Arial"/>
                <w:lang w:val="en-GB"/>
              </w:rPr>
            </w:pPr>
            <w:r w:rsidRPr="00B82F81">
              <w:rPr>
                <w:rFonts w:ascii="Arial" w:hAnsi="Arial" w:cs="Arial"/>
                <w:lang w:val="en-GB"/>
              </w:rPr>
              <w:t>Identification and characterization of parkinsonian hazard liability of deguelin by an AOP-based testing and read across approach</w:t>
            </w:r>
          </w:p>
        </w:tc>
        <w:tc>
          <w:tcPr>
            <w:tcW w:w="2154" w:type="dxa"/>
            <w:tcBorders>
              <w:top w:val="single" w:sz="4" w:space="0" w:color="auto"/>
              <w:left w:val="single" w:sz="4" w:space="0" w:color="auto"/>
              <w:bottom w:val="single" w:sz="4" w:space="0" w:color="auto"/>
              <w:right w:val="single" w:sz="4" w:space="0" w:color="auto"/>
            </w:tcBorders>
          </w:tcPr>
          <w:p w14:paraId="4AD30D11" w14:textId="67BD1661" w:rsidR="008F7E30" w:rsidRPr="00B82F81" w:rsidRDefault="00000398" w:rsidP="00000398">
            <w:pPr>
              <w:rPr>
                <w:rFonts w:ascii="Arial" w:hAnsi="Arial" w:cs="Arial"/>
                <w:lang w:val="en-GB"/>
              </w:rPr>
            </w:pPr>
            <w:r w:rsidRPr="00B82F81">
              <w:rPr>
                <w:rFonts w:ascii="Arial" w:hAnsi="Arial" w:cs="Arial"/>
                <w:lang w:val="en-GB"/>
              </w:rPr>
              <w:t xml:space="preserve">AOP on inhibition of the mitochondrial complex I of nigrostriatal neurons leading to </w:t>
            </w:r>
            <w:r w:rsidRPr="00B82F81">
              <w:rPr>
                <w:rFonts w:ascii="Arial" w:hAnsi="Arial" w:cs="Arial"/>
                <w:lang w:val="en-GB"/>
              </w:rPr>
              <w:lastRenderedPageBreak/>
              <w:t>parkinsonian motor deficits, Fig.2</w:t>
            </w:r>
          </w:p>
        </w:tc>
        <w:tc>
          <w:tcPr>
            <w:tcW w:w="2154" w:type="dxa"/>
            <w:tcBorders>
              <w:top w:val="single" w:sz="4" w:space="0" w:color="auto"/>
              <w:left w:val="single" w:sz="4" w:space="0" w:color="auto"/>
              <w:bottom w:val="single" w:sz="4" w:space="0" w:color="auto"/>
              <w:right w:val="single" w:sz="4" w:space="0" w:color="auto"/>
            </w:tcBorders>
          </w:tcPr>
          <w:p w14:paraId="1DA91055" w14:textId="4A4D6244" w:rsidR="008F7E30" w:rsidRPr="00B82F81" w:rsidRDefault="00B82F81" w:rsidP="008F7E30">
            <w:pPr>
              <w:rPr>
                <w:rFonts w:ascii="Arial" w:hAnsi="Arial" w:cs="Arial"/>
                <w:lang w:val="en-GB"/>
              </w:rPr>
            </w:pPr>
            <w:r>
              <w:rPr>
                <w:rFonts w:ascii="Arial" w:hAnsi="Arial" w:cs="Arial"/>
                <w:lang w:val="en-GB"/>
              </w:rPr>
              <w:lastRenderedPageBreak/>
              <w:t>4</w:t>
            </w:r>
            <w:r w:rsidR="008F7E30" w:rsidRPr="00B82F81">
              <w:rPr>
                <w:rFonts w:ascii="Arial" w:hAnsi="Arial" w:cs="Arial"/>
                <w:lang w:val="en-GB"/>
              </w:rPr>
              <w:t>. Approaches Used; AOP</w:t>
            </w:r>
          </w:p>
        </w:tc>
        <w:tc>
          <w:tcPr>
            <w:tcW w:w="4139" w:type="dxa"/>
            <w:tcBorders>
              <w:top w:val="single" w:sz="4" w:space="0" w:color="auto"/>
              <w:left w:val="single" w:sz="4" w:space="0" w:color="auto"/>
              <w:bottom w:val="single" w:sz="4" w:space="0" w:color="auto"/>
              <w:right w:val="single" w:sz="4" w:space="0" w:color="auto"/>
            </w:tcBorders>
          </w:tcPr>
          <w:p w14:paraId="79E44778" w14:textId="5BE20D90" w:rsidR="008F7E30" w:rsidRPr="00B82F81" w:rsidRDefault="005E2995" w:rsidP="005E2995">
            <w:pPr>
              <w:rPr>
                <w:rFonts w:ascii="Arial" w:hAnsi="Arial" w:cs="Arial"/>
                <w:lang w:val="en-GB"/>
              </w:rPr>
            </w:pPr>
            <w:r w:rsidRPr="00B82F81">
              <w:rPr>
                <w:rFonts w:ascii="Arial" w:hAnsi="Arial" w:cs="Arial"/>
                <w:lang w:val="en-GB"/>
              </w:rPr>
              <w:t xml:space="preserve">The figure </w:t>
            </w:r>
            <w:r>
              <w:rPr>
                <w:rFonts w:ascii="Arial" w:hAnsi="Arial" w:cs="Arial"/>
                <w:lang w:val="en-GB"/>
              </w:rPr>
              <w:t xml:space="preserve">provides a clear and concise overview of </w:t>
            </w:r>
            <w:r w:rsidRPr="00B82F81">
              <w:rPr>
                <w:rFonts w:ascii="Arial" w:hAnsi="Arial" w:cs="Arial"/>
                <w:lang w:val="en-GB"/>
              </w:rPr>
              <w:t xml:space="preserve">the </w:t>
            </w:r>
            <w:r>
              <w:rPr>
                <w:rFonts w:ascii="Arial" w:hAnsi="Arial" w:cs="Arial"/>
                <w:lang w:val="en-GB"/>
              </w:rPr>
              <w:t>endorsed</w:t>
            </w:r>
            <w:r w:rsidRPr="00B82F81">
              <w:rPr>
                <w:rFonts w:ascii="Arial" w:hAnsi="Arial" w:cs="Arial"/>
                <w:lang w:val="en-GB"/>
              </w:rPr>
              <w:t xml:space="preserve"> AOP along with testing for MIE/KE/AO</w:t>
            </w:r>
            <w:r>
              <w:rPr>
                <w:rFonts w:ascii="Arial" w:hAnsi="Arial" w:cs="Arial"/>
                <w:lang w:val="en-GB"/>
              </w:rPr>
              <w:t xml:space="preserve"> applied in the case study</w:t>
            </w:r>
            <w:r w:rsidRPr="00B82F81">
              <w:rPr>
                <w:rFonts w:ascii="Arial" w:hAnsi="Arial" w:cs="Arial"/>
                <w:lang w:val="en-GB"/>
              </w:rPr>
              <w:t>, which helps to guide the reader through.</w:t>
            </w:r>
          </w:p>
        </w:tc>
      </w:tr>
      <w:tr w:rsidR="008F7E30" w:rsidRPr="00B82F81" w14:paraId="4F446492" w14:textId="77777777" w:rsidTr="005F0883">
        <w:tc>
          <w:tcPr>
            <w:tcW w:w="907" w:type="dxa"/>
            <w:tcBorders>
              <w:top w:val="single" w:sz="4" w:space="0" w:color="auto"/>
              <w:left w:val="single" w:sz="4" w:space="0" w:color="auto"/>
              <w:bottom w:val="single" w:sz="4" w:space="0" w:color="auto"/>
              <w:right w:val="single" w:sz="4" w:space="0" w:color="auto"/>
            </w:tcBorders>
          </w:tcPr>
          <w:p w14:paraId="2FBA3B1D" w14:textId="51B982E8" w:rsidR="008F7E30" w:rsidRPr="00B82F81" w:rsidRDefault="008F7E30" w:rsidP="008F7E30">
            <w:pPr>
              <w:rPr>
                <w:rFonts w:ascii="Arial" w:hAnsi="Arial" w:cs="Arial"/>
                <w:lang w:val="en-GB"/>
              </w:rPr>
            </w:pPr>
            <w:r w:rsidRPr="00B82F81">
              <w:rPr>
                <w:rFonts w:ascii="Arial" w:hAnsi="Arial" w:cs="Arial"/>
                <w:lang w:val="en-GB"/>
              </w:rPr>
              <w:t>2019-8</w:t>
            </w:r>
          </w:p>
        </w:tc>
        <w:tc>
          <w:tcPr>
            <w:tcW w:w="4139" w:type="dxa"/>
            <w:tcBorders>
              <w:top w:val="single" w:sz="4" w:space="0" w:color="auto"/>
              <w:left w:val="single" w:sz="4" w:space="0" w:color="auto"/>
              <w:bottom w:val="single" w:sz="4" w:space="0" w:color="auto"/>
              <w:right w:val="single" w:sz="4" w:space="0" w:color="auto"/>
            </w:tcBorders>
          </w:tcPr>
          <w:p w14:paraId="167A934A" w14:textId="7F5F36B2" w:rsidR="008F7E30" w:rsidRPr="00B82F81" w:rsidRDefault="008F7E30" w:rsidP="008F7E30">
            <w:pPr>
              <w:rPr>
                <w:rFonts w:ascii="Arial" w:hAnsi="Arial" w:cs="Arial"/>
                <w:lang w:val="en-GB"/>
              </w:rPr>
            </w:pPr>
            <w:r w:rsidRPr="00B82F81">
              <w:rPr>
                <w:rFonts w:ascii="Arial" w:hAnsi="Arial" w:cs="Arial"/>
                <w:lang w:val="en-GB"/>
              </w:rPr>
              <w:t>Waiving of repeat-dose neurotoxicity study (TG 424) for azoxystrobin based on Read-Across to other strobilurins</w:t>
            </w:r>
          </w:p>
        </w:tc>
        <w:tc>
          <w:tcPr>
            <w:tcW w:w="2154" w:type="dxa"/>
            <w:tcBorders>
              <w:top w:val="single" w:sz="4" w:space="0" w:color="auto"/>
              <w:left w:val="single" w:sz="4" w:space="0" w:color="auto"/>
              <w:bottom w:val="single" w:sz="4" w:space="0" w:color="auto"/>
              <w:right w:val="single" w:sz="4" w:space="0" w:color="auto"/>
            </w:tcBorders>
          </w:tcPr>
          <w:p w14:paraId="777149DB" w14:textId="05A2385E" w:rsidR="008F7E30" w:rsidRPr="00B82F81" w:rsidRDefault="00000398" w:rsidP="00000398">
            <w:pPr>
              <w:rPr>
                <w:rFonts w:ascii="Arial" w:hAnsi="Arial" w:cs="Arial"/>
                <w:lang w:val="en-GB"/>
              </w:rPr>
            </w:pPr>
            <w:r w:rsidRPr="00B82F81">
              <w:rPr>
                <w:rFonts w:ascii="Arial" w:hAnsi="Arial" w:cs="Arial"/>
                <w:lang w:val="en-GB"/>
              </w:rPr>
              <w:t>AOP on the inhibition of mitochondrial complex III leading to neurotoxic effects, Fig.5.1</w:t>
            </w:r>
          </w:p>
        </w:tc>
        <w:tc>
          <w:tcPr>
            <w:tcW w:w="2154" w:type="dxa"/>
            <w:tcBorders>
              <w:top w:val="single" w:sz="4" w:space="0" w:color="auto"/>
              <w:left w:val="single" w:sz="4" w:space="0" w:color="auto"/>
              <w:bottom w:val="single" w:sz="4" w:space="0" w:color="auto"/>
              <w:right w:val="single" w:sz="4" w:space="0" w:color="auto"/>
            </w:tcBorders>
          </w:tcPr>
          <w:p w14:paraId="502B5DCE" w14:textId="5D0E7393" w:rsidR="008F7E30" w:rsidRPr="00B82F81" w:rsidRDefault="00B82F81" w:rsidP="008F7E30">
            <w:pPr>
              <w:rPr>
                <w:rFonts w:ascii="Arial" w:hAnsi="Arial" w:cs="Arial"/>
                <w:lang w:val="en-GB"/>
              </w:rPr>
            </w:pPr>
            <w:r>
              <w:rPr>
                <w:rFonts w:ascii="Arial" w:hAnsi="Arial" w:cs="Arial"/>
                <w:lang w:val="en-GB"/>
              </w:rPr>
              <w:t>4</w:t>
            </w:r>
            <w:r w:rsidR="008F7E30" w:rsidRPr="00B82F81">
              <w:rPr>
                <w:rFonts w:ascii="Arial" w:hAnsi="Arial" w:cs="Arial"/>
                <w:lang w:val="en-GB"/>
              </w:rPr>
              <w:t>. Approaches Used; AOP</w:t>
            </w:r>
          </w:p>
        </w:tc>
        <w:tc>
          <w:tcPr>
            <w:tcW w:w="4139" w:type="dxa"/>
            <w:tcBorders>
              <w:top w:val="single" w:sz="4" w:space="0" w:color="auto"/>
              <w:left w:val="single" w:sz="4" w:space="0" w:color="auto"/>
              <w:bottom w:val="single" w:sz="4" w:space="0" w:color="auto"/>
              <w:right w:val="single" w:sz="4" w:space="0" w:color="auto"/>
            </w:tcBorders>
          </w:tcPr>
          <w:p w14:paraId="2ABA7C6E" w14:textId="6F2D0FF2" w:rsidR="008F7E30" w:rsidRPr="00B82F81" w:rsidRDefault="005E2995" w:rsidP="008F7E30">
            <w:pPr>
              <w:rPr>
                <w:rFonts w:ascii="Arial" w:hAnsi="Arial" w:cs="Arial"/>
                <w:lang w:val="en-GB"/>
              </w:rPr>
            </w:pPr>
            <w:r w:rsidRPr="00B82F81">
              <w:rPr>
                <w:rFonts w:ascii="Arial" w:hAnsi="Arial" w:cs="Arial"/>
                <w:lang w:val="en-GB"/>
              </w:rPr>
              <w:t xml:space="preserve">The figure </w:t>
            </w:r>
            <w:r>
              <w:rPr>
                <w:rFonts w:ascii="Arial" w:hAnsi="Arial" w:cs="Arial"/>
                <w:lang w:val="en-GB"/>
              </w:rPr>
              <w:t xml:space="preserve">provides a clear and concise overview of </w:t>
            </w:r>
            <w:r w:rsidRPr="00B82F81">
              <w:rPr>
                <w:rFonts w:ascii="Arial" w:hAnsi="Arial" w:cs="Arial"/>
                <w:lang w:val="en-GB"/>
              </w:rPr>
              <w:t>the putative AOP along with testing for MIE/KE/AO</w:t>
            </w:r>
            <w:r>
              <w:rPr>
                <w:rFonts w:ascii="Arial" w:hAnsi="Arial" w:cs="Arial"/>
                <w:lang w:val="en-GB"/>
              </w:rPr>
              <w:t xml:space="preserve"> applied in the case study</w:t>
            </w:r>
            <w:r w:rsidRPr="00B82F81">
              <w:rPr>
                <w:rFonts w:ascii="Arial" w:hAnsi="Arial" w:cs="Arial"/>
                <w:lang w:val="en-GB"/>
              </w:rPr>
              <w:t>, which helps to guide the reader through.</w:t>
            </w:r>
          </w:p>
        </w:tc>
      </w:tr>
      <w:tr w:rsidR="008F7E30" w:rsidRPr="00B82F81" w14:paraId="12BDB2CF" w14:textId="77777777" w:rsidTr="005F0883">
        <w:tc>
          <w:tcPr>
            <w:tcW w:w="907" w:type="dxa"/>
            <w:tcBorders>
              <w:top w:val="single" w:sz="4" w:space="0" w:color="auto"/>
              <w:left w:val="single" w:sz="4" w:space="0" w:color="auto"/>
              <w:bottom w:val="single" w:sz="4" w:space="0" w:color="auto"/>
              <w:right w:val="single" w:sz="4" w:space="0" w:color="auto"/>
            </w:tcBorders>
          </w:tcPr>
          <w:p w14:paraId="6FCA4C1C" w14:textId="4593E77C" w:rsidR="008F7E30" w:rsidRPr="00B82F81" w:rsidRDefault="008F7E30" w:rsidP="008F7E30">
            <w:pPr>
              <w:rPr>
                <w:rFonts w:ascii="Arial" w:hAnsi="Arial" w:cs="Arial"/>
                <w:lang w:val="en-GB"/>
              </w:rPr>
            </w:pPr>
            <w:r w:rsidRPr="00B82F81">
              <w:rPr>
                <w:rFonts w:ascii="Arial" w:hAnsi="Arial" w:cs="Arial"/>
                <w:lang w:val="en-GB"/>
              </w:rPr>
              <w:t>2018-2</w:t>
            </w:r>
          </w:p>
        </w:tc>
        <w:tc>
          <w:tcPr>
            <w:tcW w:w="4139" w:type="dxa"/>
            <w:tcBorders>
              <w:top w:val="single" w:sz="4" w:space="0" w:color="auto"/>
              <w:left w:val="single" w:sz="4" w:space="0" w:color="auto"/>
              <w:bottom w:val="single" w:sz="4" w:space="0" w:color="auto"/>
              <w:right w:val="single" w:sz="4" w:space="0" w:color="auto"/>
            </w:tcBorders>
          </w:tcPr>
          <w:p w14:paraId="3ED6C7C8" w14:textId="266821A9" w:rsidR="008F7E30" w:rsidRPr="00B82F81" w:rsidRDefault="008F7E30" w:rsidP="008F7E30">
            <w:pPr>
              <w:rPr>
                <w:rFonts w:ascii="Arial" w:hAnsi="Arial" w:cs="Arial"/>
                <w:lang w:val="en-GB"/>
              </w:rPr>
            </w:pPr>
            <w:r w:rsidRPr="00B82F81">
              <w:rPr>
                <w:rFonts w:ascii="Arial" w:hAnsi="Arial" w:cs="Arial"/>
                <w:lang w:val="en-GB"/>
              </w:rPr>
              <w:t>Case Study on the Use of an Integrated Approach to Testing and Assessment for Identifying Estrogen Receptor Active Chemicals</w:t>
            </w:r>
          </w:p>
        </w:tc>
        <w:tc>
          <w:tcPr>
            <w:tcW w:w="2154" w:type="dxa"/>
            <w:tcBorders>
              <w:top w:val="single" w:sz="4" w:space="0" w:color="auto"/>
              <w:left w:val="single" w:sz="4" w:space="0" w:color="auto"/>
              <w:bottom w:val="single" w:sz="4" w:space="0" w:color="auto"/>
              <w:right w:val="single" w:sz="4" w:space="0" w:color="auto"/>
            </w:tcBorders>
          </w:tcPr>
          <w:p w14:paraId="50BB1600" w14:textId="48027F31" w:rsidR="008F7E30" w:rsidRPr="00B82F81" w:rsidRDefault="008F7E30" w:rsidP="008F7E30">
            <w:pPr>
              <w:rPr>
                <w:rFonts w:ascii="Arial" w:hAnsi="Arial" w:cs="Arial"/>
                <w:lang w:val="en-GB"/>
              </w:rPr>
            </w:pPr>
            <w:r w:rsidRPr="00B82F81">
              <w:rPr>
                <w:rFonts w:ascii="Arial" w:hAnsi="Arial" w:cs="Arial"/>
                <w:lang w:val="en-GB"/>
              </w:rPr>
              <w:t xml:space="preserve">3. Approaches Used, Page </w:t>
            </w:r>
            <w:hyperlink r:id="rId83" w:anchor="page=15" w:history="1">
              <w:r w:rsidRPr="00B82F81">
                <w:rPr>
                  <w:rStyle w:val="Hyperlink"/>
                  <w:rFonts w:ascii="Arial" w:hAnsi="Arial" w:cs="Arial"/>
                  <w:lang w:val="en-GB"/>
                </w:rPr>
                <w:t>15-16</w:t>
              </w:r>
            </w:hyperlink>
          </w:p>
        </w:tc>
        <w:tc>
          <w:tcPr>
            <w:tcW w:w="2154" w:type="dxa"/>
            <w:tcBorders>
              <w:top w:val="single" w:sz="4" w:space="0" w:color="auto"/>
              <w:left w:val="single" w:sz="4" w:space="0" w:color="auto"/>
              <w:bottom w:val="single" w:sz="4" w:space="0" w:color="auto"/>
              <w:right w:val="single" w:sz="4" w:space="0" w:color="auto"/>
            </w:tcBorders>
          </w:tcPr>
          <w:p w14:paraId="3447EFBE" w14:textId="2879CADB" w:rsidR="008F7E30" w:rsidRPr="00B82F81" w:rsidRDefault="00B82F81" w:rsidP="008F7E30">
            <w:pPr>
              <w:rPr>
                <w:rFonts w:ascii="Arial" w:hAnsi="Arial" w:cs="Arial"/>
                <w:lang w:val="en-GB"/>
              </w:rPr>
            </w:pPr>
            <w:r>
              <w:rPr>
                <w:rFonts w:ascii="Arial" w:hAnsi="Arial" w:cs="Arial"/>
                <w:lang w:val="en-GB"/>
              </w:rPr>
              <w:t>4</w:t>
            </w:r>
            <w:r w:rsidR="008F7E30" w:rsidRPr="00B82F81">
              <w:rPr>
                <w:rFonts w:ascii="Arial" w:hAnsi="Arial" w:cs="Arial"/>
                <w:lang w:val="en-GB"/>
              </w:rPr>
              <w:t>. Approaches Used; Defined approach</w:t>
            </w:r>
          </w:p>
        </w:tc>
        <w:tc>
          <w:tcPr>
            <w:tcW w:w="4139" w:type="dxa"/>
            <w:tcBorders>
              <w:top w:val="single" w:sz="4" w:space="0" w:color="auto"/>
              <w:left w:val="single" w:sz="4" w:space="0" w:color="auto"/>
              <w:bottom w:val="single" w:sz="4" w:space="0" w:color="auto"/>
              <w:right w:val="single" w:sz="4" w:space="0" w:color="auto"/>
            </w:tcBorders>
          </w:tcPr>
          <w:p w14:paraId="46C51B86" w14:textId="2DF4A880" w:rsidR="008F7E30" w:rsidRPr="00B82F81" w:rsidRDefault="008F7E30" w:rsidP="008F7E30">
            <w:pPr>
              <w:rPr>
                <w:rFonts w:ascii="Arial" w:hAnsi="Arial" w:cs="Arial"/>
                <w:lang w:val="en-GB"/>
              </w:rPr>
            </w:pPr>
            <w:r w:rsidRPr="00B82F81">
              <w:rPr>
                <w:rFonts w:ascii="Arial" w:hAnsi="Arial" w:cs="Arial"/>
                <w:lang w:val="en-GB"/>
              </w:rPr>
              <w:t>The description provides the hypothesis including element of defined approach.</w:t>
            </w:r>
          </w:p>
        </w:tc>
      </w:tr>
      <w:tr w:rsidR="008F7E30" w:rsidRPr="00B82F81" w14:paraId="653B312E" w14:textId="77777777" w:rsidTr="005F0883">
        <w:tc>
          <w:tcPr>
            <w:tcW w:w="907" w:type="dxa"/>
            <w:tcBorders>
              <w:top w:val="single" w:sz="4" w:space="0" w:color="auto"/>
              <w:left w:val="single" w:sz="4" w:space="0" w:color="auto"/>
              <w:bottom w:val="single" w:sz="4" w:space="0" w:color="auto"/>
              <w:right w:val="single" w:sz="4" w:space="0" w:color="auto"/>
            </w:tcBorders>
          </w:tcPr>
          <w:p w14:paraId="714E4E00" w14:textId="63142D3C" w:rsidR="008F7E30" w:rsidRPr="00C05870" w:rsidRDefault="008F7E30" w:rsidP="008F7E30">
            <w:pPr>
              <w:rPr>
                <w:rFonts w:ascii="Arial" w:hAnsi="Arial" w:cs="Arial"/>
                <w:lang w:val="en-GB"/>
              </w:rPr>
            </w:pPr>
            <w:r w:rsidRPr="00B82F81">
              <w:rPr>
                <w:rFonts w:ascii="Arial" w:hAnsi="Arial" w:cs="Arial"/>
                <w:lang w:val="en-GB"/>
              </w:rPr>
              <w:t>2016-5</w:t>
            </w:r>
          </w:p>
        </w:tc>
        <w:tc>
          <w:tcPr>
            <w:tcW w:w="4139" w:type="dxa"/>
            <w:tcBorders>
              <w:top w:val="single" w:sz="4" w:space="0" w:color="auto"/>
              <w:left w:val="single" w:sz="4" w:space="0" w:color="auto"/>
              <w:bottom w:val="single" w:sz="4" w:space="0" w:color="auto"/>
              <w:right w:val="single" w:sz="4" w:space="0" w:color="auto"/>
            </w:tcBorders>
          </w:tcPr>
          <w:p w14:paraId="280EE53A" w14:textId="7862C09F" w:rsidR="008F7E30" w:rsidRPr="00C05870" w:rsidRDefault="008F7E30" w:rsidP="008F7E30">
            <w:pPr>
              <w:rPr>
                <w:rFonts w:ascii="Arial" w:hAnsi="Arial" w:cs="Arial"/>
                <w:lang w:val="en-GB"/>
              </w:rPr>
            </w:pPr>
            <w:r w:rsidRPr="00B82F81">
              <w:rPr>
                <w:rFonts w:ascii="Arial" w:hAnsi="Arial" w:cs="Arial"/>
                <w:lang w:val="en-GB"/>
              </w:rPr>
              <w:t>Chemical Safety Assessment Workflow Based on Exposure Considerations and Non-animal Methods</w:t>
            </w:r>
          </w:p>
        </w:tc>
        <w:tc>
          <w:tcPr>
            <w:tcW w:w="2154" w:type="dxa"/>
            <w:tcBorders>
              <w:top w:val="single" w:sz="4" w:space="0" w:color="auto"/>
              <w:left w:val="single" w:sz="4" w:space="0" w:color="auto"/>
              <w:bottom w:val="single" w:sz="4" w:space="0" w:color="auto"/>
              <w:right w:val="single" w:sz="4" w:space="0" w:color="auto"/>
            </w:tcBorders>
          </w:tcPr>
          <w:p w14:paraId="281C0EC3" w14:textId="77777777" w:rsidR="008F7E30" w:rsidRPr="004D597C" w:rsidRDefault="008F7E30" w:rsidP="008F7E30">
            <w:pPr>
              <w:rPr>
                <w:rFonts w:ascii="Arial" w:hAnsi="Arial" w:cs="Arial"/>
                <w:lang w:val="en-GB"/>
              </w:rPr>
            </w:pPr>
            <w:r w:rsidRPr="004D597C">
              <w:rPr>
                <w:rFonts w:ascii="Arial" w:hAnsi="Arial" w:cs="Arial"/>
                <w:lang w:val="en-GB"/>
              </w:rPr>
              <w:t>Schema of the chemical safety</w:t>
            </w:r>
          </w:p>
          <w:p w14:paraId="7AA0C374" w14:textId="1BC8CD31" w:rsidR="008F7E30" w:rsidRPr="00C05870" w:rsidRDefault="008F7E30" w:rsidP="008F7E30">
            <w:pPr>
              <w:rPr>
                <w:rFonts w:ascii="Arial" w:hAnsi="Arial" w:cs="Arial"/>
                <w:lang w:val="en-GB"/>
              </w:rPr>
            </w:pPr>
            <w:r w:rsidRPr="004D597C">
              <w:rPr>
                <w:rFonts w:ascii="Arial" w:hAnsi="Arial" w:cs="Arial"/>
                <w:lang w:val="en-GB"/>
              </w:rPr>
              <w:t xml:space="preserve">assessment workflow, Fig. 1, Page </w:t>
            </w:r>
            <w:hyperlink r:id="rId84" w:anchor="page=11" w:history="1">
              <w:r w:rsidRPr="00B82F81">
                <w:rPr>
                  <w:rStyle w:val="Hyperlink"/>
                  <w:rFonts w:ascii="Arial" w:hAnsi="Arial" w:cs="Arial"/>
                  <w:lang w:val="en-GB"/>
                </w:rPr>
                <w:t>11</w:t>
              </w:r>
            </w:hyperlink>
          </w:p>
        </w:tc>
        <w:tc>
          <w:tcPr>
            <w:tcW w:w="2154" w:type="dxa"/>
            <w:tcBorders>
              <w:top w:val="single" w:sz="4" w:space="0" w:color="auto"/>
              <w:left w:val="single" w:sz="4" w:space="0" w:color="auto"/>
              <w:bottom w:val="single" w:sz="4" w:space="0" w:color="auto"/>
              <w:right w:val="single" w:sz="4" w:space="0" w:color="auto"/>
            </w:tcBorders>
          </w:tcPr>
          <w:p w14:paraId="6D39E540" w14:textId="7BD3A68B" w:rsidR="008F7E30" w:rsidRPr="00C05870" w:rsidRDefault="00B82F81" w:rsidP="008F7E30">
            <w:pPr>
              <w:rPr>
                <w:rFonts w:ascii="Arial" w:hAnsi="Arial" w:cs="Arial"/>
                <w:lang w:val="en-GB"/>
              </w:rPr>
            </w:pPr>
            <w:r>
              <w:rPr>
                <w:rFonts w:ascii="Arial" w:hAnsi="Arial" w:cs="Arial"/>
                <w:lang w:val="en-GB"/>
              </w:rPr>
              <w:t>4</w:t>
            </w:r>
            <w:r w:rsidR="008F7E30" w:rsidRPr="00B82F81">
              <w:rPr>
                <w:rFonts w:ascii="Arial" w:hAnsi="Arial" w:cs="Arial"/>
                <w:lang w:val="en-GB"/>
              </w:rPr>
              <w:t>. Approaches Used; Workflow</w:t>
            </w:r>
          </w:p>
        </w:tc>
        <w:tc>
          <w:tcPr>
            <w:tcW w:w="4139" w:type="dxa"/>
            <w:tcBorders>
              <w:top w:val="single" w:sz="4" w:space="0" w:color="auto"/>
              <w:left w:val="single" w:sz="4" w:space="0" w:color="auto"/>
              <w:bottom w:val="single" w:sz="4" w:space="0" w:color="auto"/>
              <w:right w:val="single" w:sz="4" w:space="0" w:color="auto"/>
            </w:tcBorders>
          </w:tcPr>
          <w:p w14:paraId="30EDA53C" w14:textId="674BEAAF" w:rsidR="008F7E30" w:rsidRPr="00B82F81" w:rsidRDefault="008F7E30" w:rsidP="008F7E30">
            <w:pPr>
              <w:rPr>
                <w:rFonts w:ascii="Arial" w:hAnsi="Arial" w:cs="Arial"/>
                <w:lang w:val="en-GB"/>
              </w:rPr>
            </w:pPr>
            <w:r w:rsidRPr="00B82F81">
              <w:rPr>
                <w:rFonts w:ascii="Arial" w:hAnsi="Arial" w:cs="Arial"/>
                <w:lang w:val="en-GB"/>
              </w:rPr>
              <w:t>The workflow presented in this figure provides a clear and concise overview of the case study, which helps to guide the reader through.</w:t>
            </w:r>
          </w:p>
        </w:tc>
      </w:tr>
      <w:tr w:rsidR="008F7E30" w:rsidRPr="00B82F81" w14:paraId="6E6A8C94" w14:textId="77777777" w:rsidTr="005F0883">
        <w:tc>
          <w:tcPr>
            <w:tcW w:w="907" w:type="dxa"/>
            <w:tcBorders>
              <w:top w:val="single" w:sz="4" w:space="0" w:color="auto"/>
              <w:left w:val="single" w:sz="4" w:space="0" w:color="auto"/>
              <w:bottom w:val="single" w:sz="4" w:space="0" w:color="auto"/>
              <w:right w:val="single" w:sz="4" w:space="0" w:color="auto"/>
            </w:tcBorders>
          </w:tcPr>
          <w:p w14:paraId="7F881F14" w14:textId="5484F498" w:rsidR="008F7E30" w:rsidRPr="00B82F81" w:rsidRDefault="008F7E30" w:rsidP="008F7E30">
            <w:pPr>
              <w:rPr>
                <w:rFonts w:ascii="Arial" w:hAnsi="Arial" w:cs="Arial"/>
                <w:lang w:val="en-GB"/>
              </w:rPr>
            </w:pPr>
            <w:r w:rsidRPr="00B82F81">
              <w:rPr>
                <w:rFonts w:ascii="Arial" w:hAnsi="Arial" w:cs="Arial"/>
                <w:lang w:val="en-GB"/>
              </w:rPr>
              <w:t>2017-1</w:t>
            </w:r>
          </w:p>
        </w:tc>
        <w:tc>
          <w:tcPr>
            <w:tcW w:w="4139" w:type="dxa"/>
            <w:tcBorders>
              <w:top w:val="single" w:sz="4" w:space="0" w:color="auto"/>
              <w:left w:val="single" w:sz="4" w:space="0" w:color="auto"/>
              <w:bottom w:val="single" w:sz="4" w:space="0" w:color="auto"/>
              <w:right w:val="single" w:sz="4" w:space="0" w:color="auto"/>
            </w:tcBorders>
          </w:tcPr>
          <w:p w14:paraId="241D4611" w14:textId="7F849B74" w:rsidR="008F7E30" w:rsidRPr="00B82F81" w:rsidRDefault="008F7E30" w:rsidP="008F7E30">
            <w:pPr>
              <w:rPr>
                <w:rFonts w:ascii="Arial" w:hAnsi="Arial" w:cs="Arial"/>
                <w:lang w:val="en-GB"/>
              </w:rPr>
            </w:pPr>
            <w:r w:rsidRPr="00B82F81">
              <w:rPr>
                <w:rFonts w:ascii="Arial" w:hAnsi="Arial" w:cs="Arial"/>
                <w:lang w:val="en-GB"/>
              </w:rPr>
              <w:t>Estrogenicity of Substituted Phenols</w:t>
            </w:r>
          </w:p>
        </w:tc>
        <w:tc>
          <w:tcPr>
            <w:tcW w:w="2154" w:type="dxa"/>
            <w:tcBorders>
              <w:top w:val="single" w:sz="4" w:space="0" w:color="auto"/>
              <w:left w:val="single" w:sz="4" w:space="0" w:color="auto"/>
              <w:bottom w:val="single" w:sz="4" w:space="0" w:color="auto"/>
              <w:right w:val="single" w:sz="4" w:space="0" w:color="auto"/>
            </w:tcBorders>
          </w:tcPr>
          <w:p w14:paraId="1215C123" w14:textId="508F40EA" w:rsidR="008F7E30" w:rsidRPr="00B82F81" w:rsidRDefault="008F7E30" w:rsidP="008F7E30">
            <w:pPr>
              <w:rPr>
                <w:rFonts w:ascii="Arial" w:hAnsi="Arial" w:cs="Arial"/>
                <w:lang w:val="en-GB"/>
              </w:rPr>
            </w:pPr>
            <w:r w:rsidRPr="00B82F81">
              <w:rPr>
                <w:rFonts w:ascii="Arial" w:hAnsi="Arial" w:cs="Arial"/>
                <w:lang w:val="en-GB"/>
              </w:rPr>
              <w:t xml:space="preserve">IATA workflow, Fig. 3, Page </w:t>
            </w:r>
            <w:hyperlink r:id="rId85" w:anchor="page=22" w:history="1">
              <w:r w:rsidRPr="00B82F81">
                <w:rPr>
                  <w:rStyle w:val="Hyperlink"/>
                  <w:rFonts w:ascii="Arial" w:hAnsi="Arial" w:cs="Arial"/>
                  <w:lang w:val="en-GB"/>
                </w:rPr>
                <w:t>22</w:t>
              </w:r>
            </w:hyperlink>
          </w:p>
        </w:tc>
        <w:tc>
          <w:tcPr>
            <w:tcW w:w="2154" w:type="dxa"/>
            <w:tcBorders>
              <w:top w:val="single" w:sz="4" w:space="0" w:color="auto"/>
              <w:left w:val="single" w:sz="4" w:space="0" w:color="auto"/>
              <w:bottom w:val="single" w:sz="4" w:space="0" w:color="auto"/>
              <w:right w:val="single" w:sz="4" w:space="0" w:color="auto"/>
            </w:tcBorders>
          </w:tcPr>
          <w:p w14:paraId="679F0FB7" w14:textId="556CEC35" w:rsidR="008F7E30" w:rsidRPr="00B82F81" w:rsidRDefault="00B82F81" w:rsidP="008F7E30">
            <w:pPr>
              <w:rPr>
                <w:rFonts w:ascii="Arial" w:hAnsi="Arial" w:cs="Arial"/>
                <w:lang w:val="en-GB"/>
              </w:rPr>
            </w:pPr>
            <w:r>
              <w:rPr>
                <w:rFonts w:ascii="Arial" w:hAnsi="Arial" w:cs="Arial"/>
                <w:lang w:val="en-GB"/>
              </w:rPr>
              <w:t>4</w:t>
            </w:r>
            <w:r w:rsidR="008F7E30" w:rsidRPr="00B82F81">
              <w:rPr>
                <w:rFonts w:ascii="Arial" w:hAnsi="Arial" w:cs="Arial"/>
                <w:lang w:val="en-GB"/>
              </w:rPr>
              <w:t>. Approaches Used; Workflow</w:t>
            </w:r>
          </w:p>
        </w:tc>
        <w:tc>
          <w:tcPr>
            <w:tcW w:w="4139" w:type="dxa"/>
            <w:tcBorders>
              <w:top w:val="single" w:sz="4" w:space="0" w:color="auto"/>
              <w:left w:val="single" w:sz="4" w:space="0" w:color="auto"/>
              <w:bottom w:val="single" w:sz="4" w:space="0" w:color="auto"/>
              <w:right w:val="single" w:sz="4" w:space="0" w:color="auto"/>
            </w:tcBorders>
          </w:tcPr>
          <w:p w14:paraId="5C2ABB91" w14:textId="31ADA2BA" w:rsidR="008F7E30" w:rsidRPr="00B82F81" w:rsidRDefault="008F7E30" w:rsidP="008F7E30">
            <w:pPr>
              <w:rPr>
                <w:rFonts w:ascii="Arial" w:hAnsi="Arial" w:cs="Arial"/>
                <w:lang w:val="en-GB"/>
              </w:rPr>
            </w:pPr>
            <w:r w:rsidRPr="00B82F81">
              <w:rPr>
                <w:rFonts w:ascii="Arial" w:hAnsi="Arial" w:cs="Arial"/>
                <w:lang w:val="en-GB"/>
              </w:rPr>
              <w:t>The workflow presented in this figure provides a clear and concise overview of the case study, which helps to guide the reader through.</w:t>
            </w:r>
          </w:p>
        </w:tc>
      </w:tr>
      <w:tr w:rsidR="008F7E30" w:rsidRPr="00B82F81" w14:paraId="16FAFB2D" w14:textId="77777777" w:rsidTr="005F0883">
        <w:tc>
          <w:tcPr>
            <w:tcW w:w="907" w:type="dxa"/>
            <w:tcBorders>
              <w:top w:val="single" w:sz="4" w:space="0" w:color="auto"/>
              <w:left w:val="single" w:sz="4" w:space="0" w:color="auto"/>
              <w:bottom w:val="single" w:sz="4" w:space="0" w:color="auto"/>
              <w:right w:val="single" w:sz="4" w:space="0" w:color="auto"/>
            </w:tcBorders>
          </w:tcPr>
          <w:p w14:paraId="06EE8E51" w14:textId="0753D230" w:rsidR="008F7E30" w:rsidRPr="00B82F81" w:rsidRDefault="008F7E30" w:rsidP="008F7E30">
            <w:pPr>
              <w:rPr>
                <w:rFonts w:ascii="Arial" w:hAnsi="Arial" w:cs="Arial"/>
                <w:lang w:val="en-GB"/>
              </w:rPr>
            </w:pPr>
            <w:r w:rsidRPr="00B82F81">
              <w:rPr>
                <w:rFonts w:ascii="Arial" w:hAnsi="Arial" w:cs="Arial"/>
                <w:lang w:val="en-GB"/>
              </w:rPr>
              <w:t>2017-2</w:t>
            </w:r>
          </w:p>
        </w:tc>
        <w:tc>
          <w:tcPr>
            <w:tcW w:w="4139" w:type="dxa"/>
            <w:tcBorders>
              <w:top w:val="single" w:sz="4" w:space="0" w:color="auto"/>
              <w:left w:val="single" w:sz="4" w:space="0" w:color="auto"/>
              <w:bottom w:val="single" w:sz="4" w:space="0" w:color="auto"/>
              <w:right w:val="single" w:sz="4" w:space="0" w:color="auto"/>
            </w:tcBorders>
          </w:tcPr>
          <w:p w14:paraId="08D664F6" w14:textId="6A34DB84" w:rsidR="008F7E30" w:rsidRPr="00B82F81" w:rsidRDefault="008F7E30" w:rsidP="008F7E30">
            <w:pPr>
              <w:rPr>
                <w:rFonts w:ascii="Arial" w:hAnsi="Arial" w:cs="Arial"/>
                <w:lang w:val="en-GB"/>
              </w:rPr>
            </w:pPr>
            <w:r w:rsidRPr="00B82F81">
              <w:rPr>
                <w:rFonts w:ascii="Arial" w:hAnsi="Arial" w:cs="Arial"/>
                <w:lang w:val="en-GB"/>
              </w:rPr>
              <w:t>Prioritization of chemicals using the Integrated Approaches for Testing and Assessment (IATA)-based Ecological Risk Classification</w:t>
            </w:r>
          </w:p>
        </w:tc>
        <w:tc>
          <w:tcPr>
            <w:tcW w:w="2154" w:type="dxa"/>
            <w:tcBorders>
              <w:top w:val="single" w:sz="4" w:space="0" w:color="auto"/>
              <w:left w:val="single" w:sz="4" w:space="0" w:color="auto"/>
              <w:bottom w:val="single" w:sz="4" w:space="0" w:color="auto"/>
              <w:right w:val="single" w:sz="4" w:space="0" w:color="auto"/>
            </w:tcBorders>
          </w:tcPr>
          <w:p w14:paraId="23EBF94D" w14:textId="33BF170A" w:rsidR="008F7E30" w:rsidRPr="00B82F81" w:rsidRDefault="008F7E30" w:rsidP="008F7E30">
            <w:pPr>
              <w:rPr>
                <w:rFonts w:ascii="Arial" w:hAnsi="Arial" w:cs="Arial"/>
                <w:lang w:val="en-GB"/>
              </w:rPr>
            </w:pPr>
            <w:r w:rsidRPr="00B82F81">
              <w:rPr>
                <w:rFonts w:ascii="Arial" w:hAnsi="Arial" w:cs="Arial"/>
                <w:lang w:val="en-GB"/>
              </w:rPr>
              <w:t xml:space="preserve">Framework for the ecological risk classification, Fig.1, Page </w:t>
            </w:r>
            <w:hyperlink r:id="rId86" w:anchor="page=15" w:history="1">
              <w:r w:rsidRPr="00B82F81">
                <w:rPr>
                  <w:rStyle w:val="Hyperlink"/>
                  <w:rFonts w:ascii="Arial" w:hAnsi="Arial" w:cs="Arial"/>
                  <w:lang w:val="en-GB"/>
                </w:rPr>
                <w:t>15</w:t>
              </w:r>
            </w:hyperlink>
          </w:p>
        </w:tc>
        <w:tc>
          <w:tcPr>
            <w:tcW w:w="2154" w:type="dxa"/>
            <w:tcBorders>
              <w:top w:val="single" w:sz="4" w:space="0" w:color="auto"/>
              <w:left w:val="single" w:sz="4" w:space="0" w:color="auto"/>
              <w:bottom w:val="single" w:sz="4" w:space="0" w:color="auto"/>
              <w:right w:val="single" w:sz="4" w:space="0" w:color="auto"/>
            </w:tcBorders>
          </w:tcPr>
          <w:p w14:paraId="2EC7C0D6" w14:textId="0B5E0BB3" w:rsidR="008F7E30" w:rsidRPr="00B82F81" w:rsidRDefault="00B82F81" w:rsidP="008F7E30">
            <w:pPr>
              <w:rPr>
                <w:rFonts w:ascii="Arial" w:hAnsi="Arial" w:cs="Arial"/>
                <w:lang w:val="en-GB"/>
              </w:rPr>
            </w:pPr>
            <w:r>
              <w:rPr>
                <w:rFonts w:ascii="Arial" w:hAnsi="Arial" w:cs="Arial"/>
                <w:lang w:val="en-GB"/>
              </w:rPr>
              <w:t>4</w:t>
            </w:r>
            <w:r w:rsidR="008F7E30" w:rsidRPr="00B82F81">
              <w:rPr>
                <w:rFonts w:ascii="Arial" w:hAnsi="Arial" w:cs="Arial"/>
                <w:lang w:val="en-GB"/>
              </w:rPr>
              <w:t>. Approaches Used; Workflow</w:t>
            </w:r>
          </w:p>
        </w:tc>
        <w:tc>
          <w:tcPr>
            <w:tcW w:w="4139" w:type="dxa"/>
            <w:tcBorders>
              <w:top w:val="single" w:sz="4" w:space="0" w:color="auto"/>
              <w:left w:val="single" w:sz="4" w:space="0" w:color="auto"/>
              <w:bottom w:val="single" w:sz="4" w:space="0" w:color="auto"/>
              <w:right w:val="single" w:sz="4" w:space="0" w:color="auto"/>
            </w:tcBorders>
          </w:tcPr>
          <w:p w14:paraId="403D9E9E" w14:textId="711C1537" w:rsidR="008F7E30" w:rsidRPr="00B82F81" w:rsidRDefault="008F7E30" w:rsidP="008F7E30">
            <w:pPr>
              <w:rPr>
                <w:rFonts w:ascii="Arial" w:hAnsi="Arial" w:cs="Arial"/>
                <w:lang w:val="en-GB"/>
              </w:rPr>
            </w:pPr>
            <w:r w:rsidRPr="00B82F81">
              <w:rPr>
                <w:rFonts w:ascii="Arial" w:hAnsi="Arial" w:cs="Arial"/>
                <w:lang w:val="en-GB"/>
              </w:rPr>
              <w:t>The framework presented in this figure provides a clear and concise overview of the case study, which helps to guide the reader through.</w:t>
            </w:r>
          </w:p>
        </w:tc>
      </w:tr>
      <w:tr w:rsidR="008F7E30" w:rsidRPr="00B82F81" w14:paraId="507D6B94" w14:textId="77777777" w:rsidTr="005F0883">
        <w:tc>
          <w:tcPr>
            <w:tcW w:w="907" w:type="dxa"/>
            <w:tcBorders>
              <w:top w:val="single" w:sz="4" w:space="0" w:color="auto"/>
              <w:left w:val="single" w:sz="4" w:space="0" w:color="auto"/>
              <w:bottom w:val="single" w:sz="4" w:space="0" w:color="auto"/>
              <w:right w:val="single" w:sz="4" w:space="0" w:color="auto"/>
            </w:tcBorders>
          </w:tcPr>
          <w:p w14:paraId="7CD4D27B" w14:textId="09ECD028" w:rsidR="008F7E30" w:rsidRPr="00B82F81" w:rsidRDefault="008F7E30" w:rsidP="008F7E30">
            <w:pPr>
              <w:rPr>
                <w:rFonts w:ascii="Arial" w:hAnsi="Arial" w:cs="Arial"/>
                <w:lang w:val="en-GB"/>
              </w:rPr>
            </w:pPr>
            <w:r w:rsidRPr="00B82F81">
              <w:rPr>
                <w:rFonts w:ascii="Arial" w:hAnsi="Arial" w:cs="Arial"/>
                <w:lang w:val="en-GB"/>
              </w:rPr>
              <w:t>2016-5</w:t>
            </w:r>
          </w:p>
        </w:tc>
        <w:tc>
          <w:tcPr>
            <w:tcW w:w="4139" w:type="dxa"/>
            <w:tcBorders>
              <w:top w:val="single" w:sz="4" w:space="0" w:color="auto"/>
              <w:left w:val="single" w:sz="4" w:space="0" w:color="auto"/>
              <w:bottom w:val="single" w:sz="4" w:space="0" w:color="auto"/>
              <w:right w:val="single" w:sz="4" w:space="0" w:color="auto"/>
            </w:tcBorders>
          </w:tcPr>
          <w:p w14:paraId="0B9BBDD6" w14:textId="45AFDFE6" w:rsidR="008F7E30" w:rsidRPr="00B82F81" w:rsidRDefault="008F7E30" w:rsidP="008F7E30">
            <w:pPr>
              <w:rPr>
                <w:rFonts w:ascii="Arial" w:hAnsi="Arial" w:cs="Arial"/>
                <w:lang w:val="en-GB"/>
              </w:rPr>
            </w:pPr>
            <w:r w:rsidRPr="00B82F81">
              <w:rPr>
                <w:rFonts w:ascii="Arial" w:hAnsi="Arial" w:cs="Arial"/>
                <w:lang w:val="en-GB"/>
              </w:rPr>
              <w:t>Chemical Safety Assessment Workflow Based on Exposure Considerations and Non-animal Methods</w:t>
            </w:r>
          </w:p>
        </w:tc>
        <w:tc>
          <w:tcPr>
            <w:tcW w:w="2154" w:type="dxa"/>
            <w:tcBorders>
              <w:top w:val="single" w:sz="4" w:space="0" w:color="auto"/>
              <w:left w:val="single" w:sz="4" w:space="0" w:color="auto"/>
              <w:bottom w:val="single" w:sz="4" w:space="0" w:color="auto"/>
              <w:right w:val="single" w:sz="4" w:space="0" w:color="auto"/>
            </w:tcBorders>
          </w:tcPr>
          <w:p w14:paraId="70CE65AC" w14:textId="5E9F0BC1" w:rsidR="008F7E30" w:rsidRPr="00B82F81" w:rsidRDefault="008F7E30" w:rsidP="008F7E30">
            <w:pPr>
              <w:rPr>
                <w:rFonts w:ascii="Arial" w:hAnsi="Arial" w:cs="Arial"/>
                <w:lang w:val="en-GB"/>
              </w:rPr>
            </w:pPr>
            <w:r w:rsidRPr="00B82F81">
              <w:rPr>
                <w:rFonts w:ascii="Arial" w:hAnsi="Arial" w:cs="Arial"/>
                <w:lang w:val="en-GB"/>
              </w:rPr>
              <w:t xml:space="preserve">4. Identification of analogues, suitability assessment and existing data, Page </w:t>
            </w:r>
            <w:hyperlink r:id="rId87" w:anchor="page=13" w:history="1">
              <w:r w:rsidRPr="00B82F81">
                <w:rPr>
                  <w:rStyle w:val="Hyperlink"/>
                  <w:rFonts w:ascii="Arial" w:hAnsi="Arial" w:cs="Arial"/>
                  <w:lang w:val="en-GB"/>
                </w:rPr>
                <w:t>13-14</w:t>
              </w:r>
            </w:hyperlink>
          </w:p>
        </w:tc>
        <w:tc>
          <w:tcPr>
            <w:tcW w:w="2154" w:type="dxa"/>
            <w:tcBorders>
              <w:top w:val="single" w:sz="4" w:space="0" w:color="auto"/>
              <w:left w:val="single" w:sz="4" w:space="0" w:color="auto"/>
              <w:bottom w:val="single" w:sz="4" w:space="0" w:color="auto"/>
              <w:right w:val="single" w:sz="4" w:space="0" w:color="auto"/>
            </w:tcBorders>
          </w:tcPr>
          <w:p w14:paraId="391F7AC2" w14:textId="1308192A" w:rsidR="008F7E30" w:rsidRPr="00B82F81" w:rsidRDefault="00B82F81" w:rsidP="008F7E30">
            <w:pPr>
              <w:rPr>
                <w:rFonts w:ascii="Arial" w:hAnsi="Arial" w:cs="Arial"/>
                <w:lang w:val="en-GB"/>
              </w:rPr>
            </w:pPr>
            <w:r>
              <w:rPr>
                <w:rFonts w:ascii="Arial" w:hAnsi="Arial" w:cs="Arial"/>
                <w:lang w:val="en-GB"/>
              </w:rPr>
              <w:t>4</w:t>
            </w:r>
            <w:r w:rsidR="008F7E30" w:rsidRPr="00B82F81">
              <w:rPr>
                <w:rFonts w:ascii="Arial" w:hAnsi="Arial" w:cs="Arial"/>
                <w:lang w:val="en-GB"/>
              </w:rPr>
              <w:t>. Approaches Used; Read-across</w:t>
            </w:r>
          </w:p>
        </w:tc>
        <w:tc>
          <w:tcPr>
            <w:tcW w:w="4139" w:type="dxa"/>
            <w:tcBorders>
              <w:top w:val="single" w:sz="4" w:space="0" w:color="auto"/>
              <w:left w:val="single" w:sz="4" w:space="0" w:color="auto"/>
              <w:bottom w:val="single" w:sz="4" w:space="0" w:color="auto"/>
              <w:right w:val="single" w:sz="4" w:space="0" w:color="auto"/>
            </w:tcBorders>
          </w:tcPr>
          <w:p w14:paraId="07B54750" w14:textId="2238692A" w:rsidR="008F7E30" w:rsidRPr="00B82F81" w:rsidRDefault="008F7E30" w:rsidP="008F7E30">
            <w:pPr>
              <w:rPr>
                <w:rFonts w:ascii="Arial" w:hAnsi="Arial" w:cs="Arial"/>
                <w:lang w:val="en-GB"/>
              </w:rPr>
            </w:pPr>
            <w:r w:rsidRPr="00B82F81">
              <w:rPr>
                <w:rFonts w:ascii="Arial" w:hAnsi="Arial" w:cs="Arial"/>
                <w:lang w:val="en-GB"/>
              </w:rPr>
              <w:t>This section describes the possibility for utility of read-across approach</w:t>
            </w:r>
            <w:r w:rsidR="005E2995">
              <w:rPr>
                <w:rFonts w:ascii="Arial" w:hAnsi="Arial" w:cs="Arial"/>
                <w:lang w:val="en-GB"/>
              </w:rPr>
              <w:t xml:space="preserve"> as one of the components</w:t>
            </w:r>
            <w:r w:rsidRPr="00B82F81">
              <w:rPr>
                <w:rFonts w:ascii="Arial" w:hAnsi="Arial" w:cs="Arial"/>
                <w:lang w:val="en-GB"/>
              </w:rPr>
              <w:t xml:space="preserve"> in the case study.</w:t>
            </w:r>
          </w:p>
        </w:tc>
      </w:tr>
      <w:tr w:rsidR="008F7E30" w:rsidRPr="00B82F81" w14:paraId="17E27928" w14:textId="77777777" w:rsidTr="005F0883">
        <w:tc>
          <w:tcPr>
            <w:tcW w:w="907" w:type="dxa"/>
            <w:tcBorders>
              <w:top w:val="single" w:sz="4" w:space="0" w:color="auto"/>
              <w:left w:val="single" w:sz="4" w:space="0" w:color="auto"/>
              <w:bottom w:val="single" w:sz="4" w:space="0" w:color="auto"/>
              <w:right w:val="single" w:sz="4" w:space="0" w:color="auto"/>
            </w:tcBorders>
          </w:tcPr>
          <w:p w14:paraId="6CCDCE69" w14:textId="469D207F" w:rsidR="008F7E30" w:rsidRPr="00B82F81" w:rsidRDefault="008F7E30" w:rsidP="008F7E30">
            <w:pPr>
              <w:rPr>
                <w:rFonts w:ascii="Arial" w:hAnsi="Arial" w:cs="Arial"/>
                <w:lang w:val="en-GB"/>
              </w:rPr>
            </w:pPr>
            <w:r w:rsidRPr="00B82F81">
              <w:rPr>
                <w:rFonts w:ascii="Arial" w:hAnsi="Arial" w:cs="Arial"/>
                <w:lang w:val="en-GB"/>
              </w:rPr>
              <w:t>2017-1</w:t>
            </w:r>
          </w:p>
        </w:tc>
        <w:tc>
          <w:tcPr>
            <w:tcW w:w="4139" w:type="dxa"/>
            <w:tcBorders>
              <w:top w:val="single" w:sz="4" w:space="0" w:color="auto"/>
              <w:left w:val="single" w:sz="4" w:space="0" w:color="auto"/>
              <w:bottom w:val="single" w:sz="4" w:space="0" w:color="auto"/>
              <w:right w:val="single" w:sz="4" w:space="0" w:color="auto"/>
            </w:tcBorders>
          </w:tcPr>
          <w:p w14:paraId="2E7471FB" w14:textId="223030D5" w:rsidR="008F7E30" w:rsidRPr="00B82F81" w:rsidRDefault="008F7E30" w:rsidP="008F7E30">
            <w:pPr>
              <w:rPr>
                <w:rFonts w:ascii="Arial" w:hAnsi="Arial" w:cs="Arial"/>
                <w:lang w:val="en-GB"/>
              </w:rPr>
            </w:pPr>
            <w:r w:rsidRPr="00B82F81">
              <w:rPr>
                <w:rFonts w:ascii="Arial" w:hAnsi="Arial" w:cs="Arial"/>
                <w:lang w:val="en-GB"/>
              </w:rPr>
              <w:t>Estrogenicity of Substituted Phenols</w:t>
            </w:r>
          </w:p>
        </w:tc>
        <w:tc>
          <w:tcPr>
            <w:tcW w:w="2154" w:type="dxa"/>
            <w:tcBorders>
              <w:top w:val="single" w:sz="4" w:space="0" w:color="auto"/>
              <w:left w:val="single" w:sz="4" w:space="0" w:color="auto"/>
              <w:bottom w:val="single" w:sz="4" w:space="0" w:color="auto"/>
              <w:right w:val="single" w:sz="4" w:space="0" w:color="auto"/>
            </w:tcBorders>
          </w:tcPr>
          <w:p w14:paraId="444569F3" w14:textId="5D14826C" w:rsidR="008F7E30" w:rsidRPr="00B82F81" w:rsidRDefault="008F7E30" w:rsidP="008F7E30">
            <w:pPr>
              <w:rPr>
                <w:rFonts w:ascii="Arial" w:hAnsi="Arial" w:cs="Arial"/>
                <w:lang w:val="en-GB"/>
              </w:rPr>
            </w:pPr>
            <w:r w:rsidRPr="00B82F81">
              <w:rPr>
                <w:rFonts w:ascii="Arial" w:hAnsi="Arial" w:cs="Arial"/>
                <w:lang w:val="en-GB"/>
              </w:rPr>
              <w:t xml:space="preserve">4.1. Analogue chemicals, Page </w:t>
            </w:r>
            <w:hyperlink r:id="rId88" w:anchor="page=26" w:history="1">
              <w:r w:rsidRPr="00B82F81">
                <w:rPr>
                  <w:rStyle w:val="Hyperlink"/>
                  <w:rFonts w:ascii="Arial" w:hAnsi="Arial" w:cs="Arial"/>
                  <w:lang w:val="en-GB"/>
                </w:rPr>
                <w:t>26-33</w:t>
              </w:r>
            </w:hyperlink>
          </w:p>
        </w:tc>
        <w:tc>
          <w:tcPr>
            <w:tcW w:w="2154" w:type="dxa"/>
            <w:tcBorders>
              <w:top w:val="single" w:sz="4" w:space="0" w:color="auto"/>
              <w:left w:val="single" w:sz="4" w:space="0" w:color="auto"/>
              <w:bottom w:val="single" w:sz="4" w:space="0" w:color="auto"/>
              <w:right w:val="single" w:sz="4" w:space="0" w:color="auto"/>
            </w:tcBorders>
          </w:tcPr>
          <w:p w14:paraId="35FE58DC" w14:textId="57508DFA" w:rsidR="008F7E30" w:rsidRPr="00B82F81" w:rsidRDefault="00B82F81" w:rsidP="008F7E30">
            <w:pPr>
              <w:rPr>
                <w:rFonts w:ascii="Arial" w:hAnsi="Arial" w:cs="Arial"/>
                <w:lang w:val="en-GB"/>
              </w:rPr>
            </w:pPr>
            <w:r>
              <w:rPr>
                <w:rFonts w:ascii="Arial" w:hAnsi="Arial" w:cs="Arial"/>
                <w:lang w:val="en-GB"/>
              </w:rPr>
              <w:t>4</w:t>
            </w:r>
            <w:r w:rsidR="008F7E30" w:rsidRPr="00B82F81">
              <w:rPr>
                <w:rFonts w:ascii="Arial" w:hAnsi="Arial" w:cs="Arial"/>
                <w:lang w:val="en-GB"/>
              </w:rPr>
              <w:t>. Approaches Used; Read-across</w:t>
            </w:r>
          </w:p>
        </w:tc>
        <w:tc>
          <w:tcPr>
            <w:tcW w:w="4139" w:type="dxa"/>
            <w:tcBorders>
              <w:top w:val="single" w:sz="4" w:space="0" w:color="auto"/>
              <w:left w:val="single" w:sz="4" w:space="0" w:color="auto"/>
              <w:bottom w:val="single" w:sz="4" w:space="0" w:color="auto"/>
              <w:right w:val="single" w:sz="4" w:space="0" w:color="auto"/>
            </w:tcBorders>
          </w:tcPr>
          <w:p w14:paraId="79A3B1A1" w14:textId="428E4C92" w:rsidR="008F7E30" w:rsidRPr="00B82F81" w:rsidRDefault="008F7E30" w:rsidP="008F7E30">
            <w:pPr>
              <w:rPr>
                <w:rFonts w:ascii="Arial" w:hAnsi="Arial" w:cs="Arial"/>
                <w:lang w:val="en-GB"/>
              </w:rPr>
            </w:pPr>
            <w:r w:rsidRPr="00B82F81">
              <w:rPr>
                <w:rFonts w:ascii="Arial" w:hAnsi="Arial" w:cs="Arial"/>
                <w:lang w:val="en-GB"/>
              </w:rPr>
              <w:t xml:space="preserve">The </w:t>
            </w:r>
            <w:r w:rsidR="000233B0">
              <w:rPr>
                <w:rFonts w:ascii="Arial" w:hAnsi="Arial" w:cs="Arial"/>
                <w:lang w:val="en-GB"/>
              </w:rPr>
              <w:t>section provides a</w:t>
            </w:r>
            <w:r w:rsidRPr="00B82F81">
              <w:rPr>
                <w:rFonts w:ascii="Arial" w:hAnsi="Arial" w:cs="Arial"/>
                <w:lang w:val="en-GB"/>
              </w:rPr>
              <w:t xml:space="preserve"> </w:t>
            </w:r>
            <w:r w:rsidR="000233B0">
              <w:rPr>
                <w:rFonts w:ascii="Arial" w:hAnsi="Arial" w:cs="Arial"/>
                <w:lang w:val="en-GB"/>
              </w:rPr>
              <w:t xml:space="preserve">clear and concise </w:t>
            </w:r>
            <w:r w:rsidRPr="00B82F81">
              <w:rPr>
                <w:rFonts w:ascii="Arial" w:hAnsi="Arial" w:cs="Arial"/>
                <w:lang w:val="en-GB"/>
              </w:rPr>
              <w:t>overview of approaches to select analogues with figures and tables</w:t>
            </w:r>
            <w:r w:rsidR="005E2995">
              <w:rPr>
                <w:rFonts w:ascii="Arial" w:hAnsi="Arial" w:cs="Arial"/>
                <w:lang w:val="en-GB"/>
              </w:rPr>
              <w:t xml:space="preserve"> in the workflow case study</w:t>
            </w:r>
            <w:r w:rsidRPr="00B82F81">
              <w:rPr>
                <w:rFonts w:ascii="Arial" w:hAnsi="Arial" w:cs="Arial"/>
                <w:lang w:val="en-GB"/>
              </w:rPr>
              <w:t xml:space="preserve">. </w:t>
            </w:r>
          </w:p>
        </w:tc>
      </w:tr>
      <w:tr w:rsidR="008F7E30" w:rsidRPr="00B82F81" w14:paraId="1A3003EC" w14:textId="77777777" w:rsidTr="005F0883">
        <w:tc>
          <w:tcPr>
            <w:tcW w:w="907" w:type="dxa"/>
            <w:tcBorders>
              <w:top w:val="single" w:sz="4" w:space="0" w:color="auto"/>
              <w:left w:val="single" w:sz="4" w:space="0" w:color="auto"/>
              <w:bottom w:val="single" w:sz="4" w:space="0" w:color="auto"/>
              <w:right w:val="single" w:sz="4" w:space="0" w:color="auto"/>
            </w:tcBorders>
          </w:tcPr>
          <w:p w14:paraId="131F8EA4" w14:textId="6DD9C2E0" w:rsidR="008F7E30" w:rsidRPr="00B82F81" w:rsidRDefault="008F7E30" w:rsidP="008F7E30">
            <w:pPr>
              <w:rPr>
                <w:rFonts w:ascii="Arial" w:hAnsi="Arial" w:cs="Arial"/>
                <w:lang w:val="en-GB"/>
              </w:rPr>
            </w:pPr>
            <w:r w:rsidRPr="00B82F81">
              <w:rPr>
                <w:rFonts w:ascii="Arial" w:hAnsi="Arial" w:cs="Arial"/>
                <w:lang w:val="en-GB"/>
              </w:rPr>
              <w:lastRenderedPageBreak/>
              <w:t>2016-5</w:t>
            </w:r>
          </w:p>
        </w:tc>
        <w:tc>
          <w:tcPr>
            <w:tcW w:w="4139" w:type="dxa"/>
            <w:tcBorders>
              <w:top w:val="single" w:sz="4" w:space="0" w:color="auto"/>
              <w:left w:val="single" w:sz="4" w:space="0" w:color="auto"/>
              <w:bottom w:val="single" w:sz="4" w:space="0" w:color="auto"/>
              <w:right w:val="single" w:sz="4" w:space="0" w:color="auto"/>
            </w:tcBorders>
          </w:tcPr>
          <w:p w14:paraId="3CAFE67F" w14:textId="6A7E85E9" w:rsidR="008F7E30" w:rsidRPr="00B82F81" w:rsidRDefault="008F7E30" w:rsidP="008F7E30">
            <w:pPr>
              <w:rPr>
                <w:rFonts w:ascii="Arial" w:hAnsi="Arial" w:cs="Arial"/>
                <w:lang w:val="en-GB"/>
              </w:rPr>
            </w:pPr>
            <w:r w:rsidRPr="00B82F81">
              <w:rPr>
                <w:rFonts w:ascii="Arial" w:hAnsi="Arial" w:cs="Arial"/>
                <w:lang w:val="en-GB"/>
              </w:rPr>
              <w:t>Chemical Safety Assessment Workflow Based on Exposure Considerations and Non-animal Methods</w:t>
            </w:r>
          </w:p>
        </w:tc>
        <w:tc>
          <w:tcPr>
            <w:tcW w:w="2154" w:type="dxa"/>
            <w:tcBorders>
              <w:top w:val="single" w:sz="4" w:space="0" w:color="auto"/>
              <w:left w:val="single" w:sz="4" w:space="0" w:color="auto"/>
              <w:bottom w:val="single" w:sz="4" w:space="0" w:color="auto"/>
              <w:right w:val="single" w:sz="4" w:space="0" w:color="auto"/>
            </w:tcBorders>
          </w:tcPr>
          <w:p w14:paraId="5A496994" w14:textId="77777777" w:rsidR="008F7E30" w:rsidRPr="00B82F81" w:rsidRDefault="008F7E30" w:rsidP="008F7E30">
            <w:pPr>
              <w:rPr>
                <w:rFonts w:ascii="Arial" w:hAnsi="Arial" w:cs="Arial"/>
                <w:lang w:val="en-GB"/>
              </w:rPr>
            </w:pPr>
            <w:r w:rsidRPr="00B82F81">
              <w:rPr>
                <w:rFonts w:ascii="Arial" w:hAnsi="Arial" w:cs="Arial"/>
                <w:lang w:val="en-GB"/>
              </w:rPr>
              <w:t>TIER 0: Identification of the use scenario, chemical of</w:t>
            </w:r>
          </w:p>
          <w:p w14:paraId="432A6376" w14:textId="19BA635A" w:rsidR="008F7E30" w:rsidRPr="00B82F81" w:rsidRDefault="008F7E30" w:rsidP="008F7E30">
            <w:pPr>
              <w:rPr>
                <w:rFonts w:ascii="Arial" w:hAnsi="Arial" w:cs="Arial"/>
                <w:lang w:val="en-GB"/>
              </w:rPr>
            </w:pPr>
            <w:r w:rsidRPr="00B82F81">
              <w:rPr>
                <w:rFonts w:ascii="Arial" w:hAnsi="Arial" w:cs="Arial"/>
                <w:lang w:val="en-GB"/>
              </w:rPr>
              <w:t xml:space="preserve">interest and collection of existing information; use scenario, Page </w:t>
            </w:r>
            <w:hyperlink r:id="rId89" w:anchor="page=11" w:history="1">
              <w:r w:rsidRPr="00B82F81">
                <w:rPr>
                  <w:rStyle w:val="Hyperlink"/>
                  <w:rFonts w:ascii="Arial" w:hAnsi="Arial" w:cs="Arial"/>
                  <w:lang w:val="en-GB"/>
                </w:rPr>
                <w:t>11</w:t>
              </w:r>
            </w:hyperlink>
          </w:p>
        </w:tc>
        <w:tc>
          <w:tcPr>
            <w:tcW w:w="2154" w:type="dxa"/>
            <w:tcBorders>
              <w:top w:val="single" w:sz="4" w:space="0" w:color="auto"/>
              <w:left w:val="single" w:sz="4" w:space="0" w:color="auto"/>
              <w:bottom w:val="single" w:sz="4" w:space="0" w:color="auto"/>
              <w:right w:val="single" w:sz="4" w:space="0" w:color="auto"/>
            </w:tcBorders>
          </w:tcPr>
          <w:p w14:paraId="4C369117" w14:textId="7177E140" w:rsidR="008F7E30" w:rsidRPr="00B82F81" w:rsidRDefault="00B82F81" w:rsidP="008F7E30">
            <w:pPr>
              <w:rPr>
                <w:rFonts w:ascii="Arial" w:hAnsi="Arial" w:cs="Arial"/>
                <w:lang w:val="en-GB"/>
              </w:rPr>
            </w:pPr>
            <w:r>
              <w:rPr>
                <w:rFonts w:ascii="Arial" w:hAnsi="Arial" w:cs="Arial"/>
                <w:lang w:val="en-GB"/>
              </w:rPr>
              <w:t>5</w:t>
            </w:r>
            <w:r w:rsidR="008F7E30" w:rsidRPr="00B82F81">
              <w:rPr>
                <w:rFonts w:ascii="Arial" w:hAnsi="Arial" w:cs="Arial"/>
                <w:lang w:val="en-GB"/>
              </w:rPr>
              <w:t>. Data/Information gathering; Exposure</w:t>
            </w:r>
          </w:p>
        </w:tc>
        <w:tc>
          <w:tcPr>
            <w:tcW w:w="4139" w:type="dxa"/>
            <w:tcBorders>
              <w:top w:val="single" w:sz="4" w:space="0" w:color="auto"/>
              <w:left w:val="single" w:sz="4" w:space="0" w:color="auto"/>
              <w:bottom w:val="single" w:sz="4" w:space="0" w:color="auto"/>
              <w:right w:val="single" w:sz="4" w:space="0" w:color="auto"/>
            </w:tcBorders>
          </w:tcPr>
          <w:p w14:paraId="6468F66C" w14:textId="7991537E" w:rsidR="008F7E30" w:rsidRPr="00B82F81" w:rsidRDefault="008F7E30" w:rsidP="008F7E30">
            <w:pPr>
              <w:rPr>
                <w:rFonts w:ascii="Arial" w:hAnsi="Arial" w:cs="Arial"/>
                <w:lang w:val="en-GB"/>
              </w:rPr>
            </w:pPr>
            <w:r w:rsidRPr="00B82F81">
              <w:rPr>
                <w:rFonts w:ascii="Arial" w:hAnsi="Arial" w:cs="Arial"/>
                <w:lang w:val="en-GB"/>
              </w:rPr>
              <w:t>This subsection describes the exposure scenario applied in the IATA such as use product, concentration and exposure route.</w:t>
            </w:r>
          </w:p>
        </w:tc>
      </w:tr>
      <w:tr w:rsidR="008F7E30" w:rsidRPr="00B82F81" w14:paraId="1EF98A9E" w14:textId="77777777" w:rsidTr="005F0883">
        <w:tc>
          <w:tcPr>
            <w:tcW w:w="907" w:type="dxa"/>
            <w:tcBorders>
              <w:top w:val="single" w:sz="4" w:space="0" w:color="auto"/>
              <w:left w:val="single" w:sz="4" w:space="0" w:color="auto"/>
              <w:bottom w:val="single" w:sz="4" w:space="0" w:color="auto"/>
              <w:right w:val="single" w:sz="4" w:space="0" w:color="auto"/>
            </w:tcBorders>
          </w:tcPr>
          <w:p w14:paraId="371670AB" w14:textId="4E1A4FE3" w:rsidR="008F7E30" w:rsidRPr="00B82F81" w:rsidRDefault="008F7E30" w:rsidP="008F7E30">
            <w:pPr>
              <w:rPr>
                <w:rFonts w:ascii="Arial" w:hAnsi="Arial" w:cs="Arial"/>
                <w:lang w:val="en-GB"/>
              </w:rPr>
            </w:pPr>
            <w:r w:rsidRPr="00B82F81">
              <w:rPr>
                <w:rFonts w:ascii="Arial" w:hAnsi="Arial" w:cs="Arial"/>
                <w:lang w:val="en-GB"/>
              </w:rPr>
              <w:t>2017-2</w:t>
            </w:r>
          </w:p>
        </w:tc>
        <w:tc>
          <w:tcPr>
            <w:tcW w:w="4139" w:type="dxa"/>
            <w:tcBorders>
              <w:top w:val="single" w:sz="4" w:space="0" w:color="auto"/>
              <w:left w:val="single" w:sz="4" w:space="0" w:color="auto"/>
              <w:bottom w:val="single" w:sz="4" w:space="0" w:color="auto"/>
              <w:right w:val="single" w:sz="4" w:space="0" w:color="auto"/>
            </w:tcBorders>
          </w:tcPr>
          <w:p w14:paraId="72ED1281" w14:textId="797F657D" w:rsidR="008F7E30" w:rsidRPr="00B82F81" w:rsidRDefault="008F7E30" w:rsidP="008F7E30">
            <w:pPr>
              <w:rPr>
                <w:rFonts w:ascii="Arial" w:hAnsi="Arial" w:cs="Arial"/>
                <w:lang w:val="en-GB"/>
              </w:rPr>
            </w:pPr>
            <w:r w:rsidRPr="00B82F81">
              <w:rPr>
                <w:rFonts w:ascii="Arial" w:hAnsi="Arial" w:cs="Arial"/>
                <w:lang w:val="en-GB"/>
              </w:rPr>
              <w:t>Prioritization of chemicals using the Integrated Approaches for Testing and Assessment (IATA)-based Ecological Risk Classification</w:t>
            </w:r>
          </w:p>
        </w:tc>
        <w:tc>
          <w:tcPr>
            <w:tcW w:w="2154" w:type="dxa"/>
            <w:tcBorders>
              <w:top w:val="single" w:sz="4" w:space="0" w:color="auto"/>
              <w:left w:val="single" w:sz="4" w:space="0" w:color="auto"/>
              <w:bottom w:val="single" w:sz="4" w:space="0" w:color="auto"/>
              <w:right w:val="single" w:sz="4" w:space="0" w:color="auto"/>
            </w:tcBorders>
          </w:tcPr>
          <w:p w14:paraId="0BEBDC86" w14:textId="3CE76967" w:rsidR="008F7E30" w:rsidRPr="00B82F81" w:rsidRDefault="008F7E30" w:rsidP="008F7E30">
            <w:pPr>
              <w:rPr>
                <w:rFonts w:ascii="Arial" w:hAnsi="Arial" w:cs="Arial"/>
                <w:lang w:val="en-GB"/>
              </w:rPr>
            </w:pPr>
            <w:r w:rsidRPr="00B82F81">
              <w:rPr>
                <w:rFonts w:ascii="Arial" w:hAnsi="Arial" w:cs="Arial"/>
                <w:lang w:val="en-GB"/>
              </w:rPr>
              <w:t xml:space="preserve">2.2. Hazard and exposure profiling in the ERC approach, Exposure profiling, </w:t>
            </w:r>
            <w:hyperlink r:id="rId90" w:anchor="page=20" w:history="1">
              <w:r w:rsidRPr="00B82F81">
                <w:rPr>
                  <w:rStyle w:val="Hyperlink"/>
                  <w:rFonts w:ascii="Arial" w:hAnsi="Arial" w:cs="Arial"/>
                  <w:lang w:val="en-GB"/>
                </w:rPr>
                <w:t>Page 20-21</w:t>
              </w:r>
            </w:hyperlink>
          </w:p>
        </w:tc>
        <w:tc>
          <w:tcPr>
            <w:tcW w:w="2154" w:type="dxa"/>
            <w:tcBorders>
              <w:top w:val="single" w:sz="4" w:space="0" w:color="auto"/>
              <w:left w:val="single" w:sz="4" w:space="0" w:color="auto"/>
              <w:bottom w:val="single" w:sz="4" w:space="0" w:color="auto"/>
              <w:right w:val="single" w:sz="4" w:space="0" w:color="auto"/>
            </w:tcBorders>
          </w:tcPr>
          <w:p w14:paraId="7277A551" w14:textId="60F272C4" w:rsidR="008F7E30" w:rsidRPr="00B82F81" w:rsidRDefault="00B82F81" w:rsidP="008F7E30">
            <w:pPr>
              <w:rPr>
                <w:rFonts w:ascii="Arial" w:hAnsi="Arial" w:cs="Arial"/>
                <w:lang w:val="en-GB"/>
              </w:rPr>
            </w:pPr>
            <w:r>
              <w:rPr>
                <w:rFonts w:ascii="Arial" w:hAnsi="Arial" w:cs="Arial"/>
                <w:lang w:val="en-GB"/>
              </w:rPr>
              <w:t>5</w:t>
            </w:r>
            <w:r w:rsidR="008F7E30" w:rsidRPr="00B82F81">
              <w:rPr>
                <w:rFonts w:ascii="Arial" w:hAnsi="Arial" w:cs="Arial"/>
                <w:lang w:val="en-GB"/>
              </w:rPr>
              <w:t>. Data/Information gathering; Exposure</w:t>
            </w:r>
          </w:p>
        </w:tc>
        <w:tc>
          <w:tcPr>
            <w:tcW w:w="4139" w:type="dxa"/>
            <w:tcBorders>
              <w:top w:val="single" w:sz="4" w:space="0" w:color="auto"/>
              <w:left w:val="single" w:sz="4" w:space="0" w:color="auto"/>
              <w:bottom w:val="single" w:sz="4" w:space="0" w:color="auto"/>
              <w:right w:val="single" w:sz="4" w:space="0" w:color="auto"/>
            </w:tcBorders>
          </w:tcPr>
          <w:p w14:paraId="730E0DCF" w14:textId="46807CEC" w:rsidR="008F7E30" w:rsidRPr="00B82F81" w:rsidRDefault="008F7E30" w:rsidP="008F7E30">
            <w:pPr>
              <w:rPr>
                <w:rFonts w:ascii="Arial" w:hAnsi="Arial" w:cs="Arial"/>
                <w:lang w:val="en-GB"/>
              </w:rPr>
            </w:pPr>
            <w:r w:rsidRPr="00B82F81">
              <w:rPr>
                <w:rFonts w:ascii="Arial" w:hAnsi="Arial" w:cs="Arial"/>
                <w:lang w:val="en-GB"/>
              </w:rPr>
              <w:t>This subsection describes how exposure profiling was determined, and provides the information on data source.</w:t>
            </w:r>
          </w:p>
        </w:tc>
      </w:tr>
      <w:tr w:rsidR="008F7E30" w:rsidRPr="00B82F81" w14:paraId="1C5658A1" w14:textId="77777777" w:rsidTr="005F0883">
        <w:tc>
          <w:tcPr>
            <w:tcW w:w="907" w:type="dxa"/>
            <w:tcBorders>
              <w:top w:val="single" w:sz="4" w:space="0" w:color="auto"/>
              <w:left w:val="single" w:sz="4" w:space="0" w:color="auto"/>
              <w:bottom w:val="single" w:sz="4" w:space="0" w:color="auto"/>
              <w:right w:val="single" w:sz="4" w:space="0" w:color="auto"/>
            </w:tcBorders>
          </w:tcPr>
          <w:p w14:paraId="5A74733F" w14:textId="3F2F1080" w:rsidR="008F7E30" w:rsidRPr="00B82F81" w:rsidRDefault="008F7E30" w:rsidP="008F7E30">
            <w:pPr>
              <w:rPr>
                <w:rFonts w:ascii="Arial" w:hAnsi="Arial" w:cs="Arial"/>
                <w:lang w:val="en-GB"/>
              </w:rPr>
            </w:pPr>
            <w:r w:rsidRPr="00B82F81">
              <w:rPr>
                <w:rFonts w:ascii="Arial" w:hAnsi="Arial" w:cs="Arial"/>
                <w:lang w:val="en-GB"/>
              </w:rPr>
              <w:t>2018-2</w:t>
            </w:r>
          </w:p>
        </w:tc>
        <w:tc>
          <w:tcPr>
            <w:tcW w:w="4139" w:type="dxa"/>
            <w:tcBorders>
              <w:top w:val="single" w:sz="4" w:space="0" w:color="auto"/>
              <w:left w:val="single" w:sz="4" w:space="0" w:color="auto"/>
              <w:bottom w:val="single" w:sz="4" w:space="0" w:color="auto"/>
              <w:right w:val="single" w:sz="4" w:space="0" w:color="auto"/>
            </w:tcBorders>
          </w:tcPr>
          <w:p w14:paraId="40761BEB" w14:textId="0AA4F3A4" w:rsidR="008F7E30" w:rsidRPr="00B82F81" w:rsidRDefault="008F7E30" w:rsidP="008F7E30">
            <w:pPr>
              <w:rPr>
                <w:rFonts w:ascii="Arial" w:hAnsi="Arial" w:cs="Arial"/>
                <w:lang w:val="en-GB"/>
              </w:rPr>
            </w:pPr>
            <w:r w:rsidRPr="00B82F81">
              <w:rPr>
                <w:rFonts w:ascii="Arial" w:hAnsi="Arial" w:cs="Arial"/>
                <w:lang w:val="en-GB"/>
              </w:rPr>
              <w:t>Case Study on the Use of an Integrated Approach to Testing and Assessment for Identifying Estrogen Receptor Active Chemicals</w:t>
            </w:r>
          </w:p>
        </w:tc>
        <w:tc>
          <w:tcPr>
            <w:tcW w:w="2154" w:type="dxa"/>
            <w:tcBorders>
              <w:top w:val="single" w:sz="4" w:space="0" w:color="auto"/>
              <w:left w:val="single" w:sz="4" w:space="0" w:color="auto"/>
              <w:bottom w:val="single" w:sz="4" w:space="0" w:color="auto"/>
              <w:right w:val="single" w:sz="4" w:space="0" w:color="auto"/>
            </w:tcBorders>
          </w:tcPr>
          <w:p w14:paraId="0E19CCA8" w14:textId="0044B5F1" w:rsidR="008F7E30" w:rsidRPr="00B82F81" w:rsidRDefault="008F7E30" w:rsidP="008F7E30">
            <w:pPr>
              <w:rPr>
                <w:rFonts w:ascii="Arial" w:hAnsi="Arial" w:cs="Arial"/>
                <w:lang w:val="en-GB"/>
              </w:rPr>
            </w:pPr>
            <w:r w:rsidRPr="00B82F81">
              <w:rPr>
                <w:rFonts w:ascii="Arial" w:hAnsi="Arial" w:cs="Arial"/>
                <w:lang w:val="en-GB"/>
              </w:rPr>
              <w:t xml:space="preserve">4. Data/Information Gathering, </w:t>
            </w:r>
            <w:hyperlink r:id="rId91" w:anchor="page=17" w:history="1">
              <w:r w:rsidRPr="00B82F81">
                <w:rPr>
                  <w:rStyle w:val="Hyperlink"/>
                  <w:rFonts w:ascii="Arial" w:hAnsi="Arial" w:cs="Arial"/>
                  <w:lang w:val="en-GB"/>
                </w:rPr>
                <w:t>Page 17-24</w:t>
              </w:r>
            </w:hyperlink>
          </w:p>
        </w:tc>
        <w:tc>
          <w:tcPr>
            <w:tcW w:w="2154" w:type="dxa"/>
            <w:tcBorders>
              <w:top w:val="single" w:sz="4" w:space="0" w:color="auto"/>
              <w:left w:val="single" w:sz="4" w:space="0" w:color="auto"/>
              <w:bottom w:val="single" w:sz="4" w:space="0" w:color="auto"/>
              <w:right w:val="single" w:sz="4" w:space="0" w:color="auto"/>
            </w:tcBorders>
          </w:tcPr>
          <w:p w14:paraId="0ECD0B0C" w14:textId="5E96C346" w:rsidR="008F7E30" w:rsidRPr="00B82F81" w:rsidRDefault="00B82F81" w:rsidP="008F7E30">
            <w:pPr>
              <w:rPr>
                <w:rFonts w:ascii="Arial" w:hAnsi="Arial" w:cs="Arial"/>
                <w:lang w:val="en-GB"/>
              </w:rPr>
            </w:pPr>
            <w:r>
              <w:rPr>
                <w:rFonts w:ascii="Arial" w:hAnsi="Arial" w:cs="Arial"/>
                <w:lang w:val="en-GB"/>
              </w:rPr>
              <w:t>5</w:t>
            </w:r>
            <w:r w:rsidR="008F7E30" w:rsidRPr="00B82F81">
              <w:rPr>
                <w:rFonts w:ascii="Arial" w:hAnsi="Arial" w:cs="Arial"/>
                <w:lang w:val="en-GB"/>
              </w:rPr>
              <w:t>. Data/Information gathering; Defined Approach</w:t>
            </w:r>
          </w:p>
        </w:tc>
        <w:tc>
          <w:tcPr>
            <w:tcW w:w="4139" w:type="dxa"/>
            <w:tcBorders>
              <w:top w:val="single" w:sz="4" w:space="0" w:color="auto"/>
              <w:left w:val="single" w:sz="4" w:space="0" w:color="auto"/>
              <w:bottom w:val="single" w:sz="4" w:space="0" w:color="auto"/>
              <w:right w:val="single" w:sz="4" w:space="0" w:color="auto"/>
            </w:tcBorders>
          </w:tcPr>
          <w:p w14:paraId="6B2D7FCF" w14:textId="046EF857" w:rsidR="008F7E30" w:rsidRPr="00B82F81" w:rsidRDefault="008F7E30" w:rsidP="008F7E30">
            <w:pPr>
              <w:rPr>
                <w:rFonts w:ascii="Arial" w:hAnsi="Arial" w:cs="Arial"/>
                <w:lang w:val="en-GB"/>
              </w:rPr>
            </w:pPr>
            <w:r w:rsidRPr="00B82F81">
              <w:rPr>
                <w:rFonts w:ascii="Arial" w:hAnsi="Arial" w:cs="Arial"/>
                <w:lang w:val="en-GB"/>
              </w:rPr>
              <w:t xml:space="preserve">This section describes an integrated battery of </w:t>
            </w:r>
            <w:r w:rsidR="00912751" w:rsidRPr="00912751">
              <w:rPr>
                <w:rFonts w:ascii="Arial" w:hAnsi="Arial" w:cs="Arial"/>
                <w:i/>
                <w:lang w:val="en-GB"/>
              </w:rPr>
              <w:t>in vitro</w:t>
            </w:r>
            <w:r w:rsidRPr="00B82F81">
              <w:rPr>
                <w:rFonts w:ascii="Arial" w:hAnsi="Arial" w:cs="Arial"/>
                <w:lang w:val="en-GB"/>
              </w:rPr>
              <w:t xml:space="preserve"> assays and a computational model with figures and tables, which provide an overview of data/information gathering procedure.</w:t>
            </w:r>
          </w:p>
        </w:tc>
      </w:tr>
      <w:tr w:rsidR="008F7E30" w:rsidRPr="00B82F81" w14:paraId="201C1699" w14:textId="77777777" w:rsidTr="005F0883">
        <w:tc>
          <w:tcPr>
            <w:tcW w:w="907" w:type="dxa"/>
            <w:tcBorders>
              <w:top w:val="single" w:sz="4" w:space="0" w:color="auto"/>
              <w:left w:val="single" w:sz="4" w:space="0" w:color="auto"/>
              <w:bottom w:val="single" w:sz="4" w:space="0" w:color="auto"/>
              <w:right w:val="single" w:sz="4" w:space="0" w:color="auto"/>
            </w:tcBorders>
          </w:tcPr>
          <w:p w14:paraId="1C9910FA" w14:textId="27259275" w:rsidR="008F7E30" w:rsidRPr="00B82F81" w:rsidRDefault="008F7E30" w:rsidP="008F7E30">
            <w:pPr>
              <w:rPr>
                <w:rFonts w:ascii="Arial" w:hAnsi="Arial" w:cs="Arial"/>
                <w:lang w:val="en-GB"/>
              </w:rPr>
            </w:pPr>
            <w:r w:rsidRPr="00B82F81">
              <w:rPr>
                <w:rFonts w:ascii="Arial" w:hAnsi="Arial" w:cs="Arial"/>
                <w:lang w:val="en-GB"/>
              </w:rPr>
              <w:t>2016-5</w:t>
            </w:r>
          </w:p>
        </w:tc>
        <w:tc>
          <w:tcPr>
            <w:tcW w:w="4139" w:type="dxa"/>
            <w:tcBorders>
              <w:top w:val="single" w:sz="4" w:space="0" w:color="auto"/>
              <w:left w:val="single" w:sz="4" w:space="0" w:color="auto"/>
              <w:bottom w:val="single" w:sz="4" w:space="0" w:color="auto"/>
              <w:right w:val="single" w:sz="4" w:space="0" w:color="auto"/>
            </w:tcBorders>
          </w:tcPr>
          <w:p w14:paraId="372D0264" w14:textId="67706273" w:rsidR="008F7E30" w:rsidRPr="00B82F81" w:rsidRDefault="008F7E30" w:rsidP="008F7E30">
            <w:pPr>
              <w:rPr>
                <w:rFonts w:ascii="Arial" w:hAnsi="Arial" w:cs="Arial"/>
                <w:lang w:val="en-GB"/>
              </w:rPr>
            </w:pPr>
            <w:r w:rsidRPr="00B82F81">
              <w:rPr>
                <w:rFonts w:ascii="Arial" w:hAnsi="Arial" w:cs="Arial"/>
                <w:lang w:val="en-GB"/>
              </w:rPr>
              <w:t>Chemical Safety Assessment Workflow Based on Exposure Considerations and Non-animal Methods</w:t>
            </w:r>
          </w:p>
        </w:tc>
        <w:tc>
          <w:tcPr>
            <w:tcW w:w="2154" w:type="dxa"/>
            <w:tcBorders>
              <w:top w:val="single" w:sz="4" w:space="0" w:color="auto"/>
              <w:left w:val="single" w:sz="4" w:space="0" w:color="auto"/>
              <w:bottom w:val="single" w:sz="4" w:space="0" w:color="auto"/>
              <w:right w:val="single" w:sz="4" w:space="0" w:color="auto"/>
            </w:tcBorders>
          </w:tcPr>
          <w:p w14:paraId="54C17950" w14:textId="31BBA51A" w:rsidR="008F7E30" w:rsidRPr="00B82F81" w:rsidRDefault="008F7E30" w:rsidP="008F7E30">
            <w:pPr>
              <w:rPr>
                <w:rFonts w:ascii="Arial" w:hAnsi="Arial" w:cs="Arial"/>
                <w:lang w:val="en-GB"/>
              </w:rPr>
            </w:pPr>
            <w:r w:rsidRPr="00B82F81">
              <w:rPr>
                <w:rFonts w:ascii="Arial" w:hAnsi="Arial" w:cs="Arial"/>
                <w:lang w:val="en-GB"/>
              </w:rPr>
              <w:t xml:space="preserve">CHEMICAL SAFETY ASSESSMENT WORKFLOW PROPOSED, </w:t>
            </w:r>
            <w:hyperlink r:id="rId92" w:anchor="page=11" w:history="1">
              <w:r w:rsidRPr="00B82F81">
                <w:rPr>
                  <w:rStyle w:val="Hyperlink"/>
                  <w:rFonts w:ascii="Arial" w:hAnsi="Arial" w:cs="Arial"/>
                  <w:lang w:val="en-GB"/>
                </w:rPr>
                <w:t>Page 11-24</w:t>
              </w:r>
            </w:hyperlink>
          </w:p>
        </w:tc>
        <w:tc>
          <w:tcPr>
            <w:tcW w:w="2154" w:type="dxa"/>
            <w:tcBorders>
              <w:top w:val="single" w:sz="4" w:space="0" w:color="auto"/>
              <w:left w:val="single" w:sz="4" w:space="0" w:color="auto"/>
              <w:bottom w:val="single" w:sz="4" w:space="0" w:color="auto"/>
              <w:right w:val="single" w:sz="4" w:space="0" w:color="auto"/>
            </w:tcBorders>
          </w:tcPr>
          <w:p w14:paraId="1D57DABD" w14:textId="47663D55" w:rsidR="008F7E30" w:rsidRPr="00B82F81" w:rsidRDefault="00B82F81" w:rsidP="008F7E30">
            <w:pPr>
              <w:rPr>
                <w:rFonts w:ascii="Arial" w:hAnsi="Arial" w:cs="Arial"/>
                <w:lang w:val="en-GB"/>
              </w:rPr>
            </w:pPr>
            <w:r>
              <w:rPr>
                <w:rFonts w:ascii="Arial" w:hAnsi="Arial" w:cs="Arial"/>
                <w:lang w:val="en-GB"/>
              </w:rPr>
              <w:t>5</w:t>
            </w:r>
            <w:r w:rsidR="008F7E30" w:rsidRPr="00B82F81">
              <w:rPr>
                <w:rFonts w:ascii="Arial" w:hAnsi="Arial" w:cs="Arial"/>
                <w:lang w:val="en-GB"/>
              </w:rPr>
              <w:t>. Data/Information gathering; Summary text box</w:t>
            </w:r>
          </w:p>
        </w:tc>
        <w:tc>
          <w:tcPr>
            <w:tcW w:w="4139" w:type="dxa"/>
            <w:tcBorders>
              <w:top w:val="single" w:sz="4" w:space="0" w:color="auto"/>
              <w:left w:val="single" w:sz="4" w:space="0" w:color="auto"/>
              <w:bottom w:val="single" w:sz="4" w:space="0" w:color="auto"/>
              <w:right w:val="single" w:sz="4" w:space="0" w:color="auto"/>
            </w:tcBorders>
          </w:tcPr>
          <w:p w14:paraId="4E6F54FC" w14:textId="0A5046F0" w:rsidR="008F7E30" w:rsidRPr="00B82F81" w:rsidRDefault="008F7E30" w:rsidP="008F7E30">
            <w:pPr>
              <w:rPr>
                <w:rFonts w:ascii="Arial" w:hAnsi="Arial" w:cs="Arial"/>
                <w:lang w:val="en-GB"/>
              </w:rPr>
            </w:pPr>
            <w:r w:rsidRPr="00B82F81">
              <w:rPr>
                <w:rFonts w:ascii="Arial" w:hAnsi="Arial" w:cs="Arial"/>
                <w:lang w:val="en-GB"/>
              </w:rPr>
              <w:t>The summary textboxes provides a conclusion under each section, which makes readers understand what conclusion is observed.</w:t>
            </w:r>
          </w:p>
        </w:tc>
      </w:tr>
      <w:tr w:rsidR="008F7E30" w:rsidRPr="00B82F81" w14:paraId="29597DDB" w14:textId="77777777" w:rsidTr="005F0883">
        <w:tc>
          <w:tcPr>
            <w:tcW w:w="907" w:type="dxa"/>
            <w:tcBorders>
              <w:top w:val="single" w:sz="4" w:space="0" w:color="auto"/>
              <w:left w:val="single" w:sz="4" w:space="0" w:color="auto"/>
              <w:bottom w:val="single" w:sz="4" w:space="0" w:color="auto"/>
              <w:right w:val="single" w:sz="4" w:space="0" w:color="auto"/>
            </w:tcBorders>
          </w:tcPr>
          <w:p w14:paraId="75C51F79" w14:textId="5109C216" w:rsidR="008F7E30" w:rsidRPr="00B82F81" w:rsidRDefault="008F7E30" w:rsidP="008F7E30">
            <w:pPr>
              <w:rPr>
                <w:rFonts w:ascii="Arial" w:hAnsi="Arial" w:cs="Arial"/>
                <w:lang w:val="en-GB"/>
              </w:rPr>
            </w:pPr>
            <w:r w:rsidRPr="00B82F81">
              <w:rPr>
                <w:rFonts w:ascii="Arial" w:hAnsi="Arial" w:cs="Arial"/>
                <w:lang w:val="en-GB"/>
              </w:rPr>
              <w:t>2017-2</w:t>
            </w:r>
          </w:p>
        </w:tc>
        <w:tc>
          <w:tcPr>
            <w:tcW w:w="4139" w:type="dxa"/>
            <w:tcBorders>
              <w:top w:val="single" w:sz="4" w:space="0" w:color="auto"/>
              <w:left w:val="single" w:sz="4" w:space="0" w:color="auto"/>
              <w:bottom w:val="single" w:sz="4" w:space="0" w:color="auto"/>
              <w:right w:val="single" w:sz="4" w:space="0" w:color="auto"/>
            </w:tcBorders>
          </w:tcPr>
          <w:p w14:paraId="265558F3" w14:textId="561F378F" w:rsidR="008F7E30" w:rsidRPr="00B82F81" w:rsidRDefault="008F7E30" w:rsidP="008F7E30">
            <w:pPr>
              <w:rPr>
                <w:rFonts w:ascii="Arial" w:hAnsi="Arial" w:cs="Arial"/>
                <w:lang w:val="en-GB"/>
              </w:rPr>
            </w:pPr>
            <w:r w:rsidRPr="00B82F81">
              <w:rPr>
                <w:rFonts w:ascii="Arial" w:hAnsi="Arial" w:cs="Arial"/>
                <w:lang w:val="en-GB"/>
              </w:rPr>
              <w:t>Prioritization of chemicals using the Integrated Approaches for Testing and Assessment (IATA)-based Ecological Risk Classification</w:t>
            </w:r>
          </w:p>
        </w:tc>
        <w:tc>
          <w:tcPr>
            <w:tcW w:w="2154" w:type="dxa"/>
            <w:tcBorders>
              <w:top w:val="single" w:sz="4" w:space="0" w:color="auto"/>
              <w:left w:val="single" w:sz="4" w:space="0" w:color="auto"/>
              <w:bottom w:val="single" w:sz="4" w:space="0" w:color="auto"/>
              <w:right w:val="single" w:sz="4" w:space="0" w:color="auto"/>
            </w:tcBorders>
          </w:tcPr>
          <w:p w14:paraId="33421CA6" w14:textId="5D005D32" w:rsidR="008F7E30" w:rsidRPr="00B82F81" w:rsidRDefault="008F7E30" w:rsidP="008F7E30">
            <w:pPr>
              <w:rPr>
                <w:rFonts w:ascii="Arial" w:hAnsi="Arial" w:cs="Arial"/>
                <w:lang w:val="en-GB"/>
              </w:rPr>
            </w:pPr>
            <w:r w:rsidRPr="00B82F81">
              <w:rPr>
                <w:rFonts w:ascii="Arial" w:hAnsi="Arial" w:cs="Arial"/>
                <w:lang w:val="en-GB"/>
              </w:rPr>
              <w:t xml:space="preserve">3.3. Uncertainties identified in the ERC approach, Table 5, </w:t>
            </w:r>
            <w:hyperlink r:id="rId93" w:anchor="page=34" w:history="1">
              <w:r w:rsidRPr="00B82F81">
                <w:rPr>
                  <w:rStyle w:val="Hyperlink"/>
                  <w:rFonts w:ascii="Arial" w:hAnsi="Arial" w:cs="Arial"/>
                  <w:lang w:val="en-GB"/>
                </w:rPr>
                <w:t>Page 34-35</w:t>
              </w:r>
            </w:hyperlink>
            <w:r w:rsidRPr="00B82F81">
              <w:rPr>
                <w:rFonts w:ascii="Arial" w:hAnsi="Arial" w:cs="Arial"/>
                <w:lang w:val="en-GB"/>
              </w:rPr>
              <w:t xml:space="preserve"> </w:t>
            </w:r>
          </w:p>
        </w:tc>
        <w:tc>
          <w:tcPr>
            <w:tcW w:w="2154" w:type="dxa"/>
            <w:tcBorders>
              <w:top w:val="single" w:sz="4" w:space="0" w:color="auto"/>
              <w:left w:val="single" w:sz="4" w:space="0" w:color="auto"/>
              <w:bottom w:val="single" w:sz="4" w:space="0" w:color="auto"/>
              <w:right w:val="single" w:sz="4" w:space="0" w:color="auto"/>
            </w:tcBorders>
          </w:tcPr>
          <w:p w14:paraId="0A51D2E4" w14:textId="207FD5A8" w:rsidR="008F7E30" w:rsidRPr="00B82F81" w:rsidRDefault="00B82F81" w:rsidP="008F7E30">
            <w:pPr>
              <w:rPr>
                <w:rFonts w:ascii="Arial" w:hAnsi="Arial" w:cs="Arial"/>
                <w:lang w:val="en-GB"/>
              </w:rPr>
            </w:pPr>
            <w:r>
              <w:rPr>
                <w:rFonts w:ascii="Arial" w:hAnsi="Arial" w:cs="Arial"/>
                <w:lang w:val="en-GB"/>
              </w:rPr>
              <w:t>6</w:t>
            </w:r>
            <w:r w:rsidR="008F7E30" w:rsidRPr="00B82F81">
              <w:rPr>
                <w:rFonts w:ascii="Arial" w:hAnsi="Arial" w:cs="Arial"/>
                <w:lang w:val="en-GB"/>
              </w:rPr>
              <w:t>. Application of IATA; Uncertainty</w:t>
            </w:r>
          </w:p>
        </w:tc>
        <w:tc>
          <w:tcPr>
            <w:tcW w:w="4139" w:type="dxa"/>
            <w:tcBorders>
              <w:top w:val="single" w:sz="4" w:space="0" w:color="auto"/>
              <w:left w:val="single" w:sz="4" w:space="0" w:color="auto"/>
              <w:bottom w:val="single" w:sz="4" w:space="0" w:color="auto"/>
              <w:right w:val="single" w:sz="4" w:space="0" w:color="auto"/>
            </w:tcBorders>
          </w:tcPr>
          <w:p w14:paraId="00142C5B" w14:textId="17353FE3" w:rsidR="008F7E30" w:rsidRPr="00B82F81" w:rsidRDefault="008F7E30" w:rsidP="008F7E30">
            <w:pPr>
              <w:rPr>
                <w:rFonts w:ascii="Arial" w:hAnsi="Arial" w:cs="Arial"/>
                <w:lang w:val="en-GB"/>
              </w:rPr>
            </w:pPr>
            <w:r w:rsidRPr="00B82F81">
              <w:rPr>
                <w:rFonts w:ascii="Arial" w:hAnsi="Arial" w:cs="Arial"/>
                <w:lang w:val="en-GB"/>
              </w:rPr>
              <w:t xml:space="preserve">This uncertainty table provides an overview of the uncertainty analysis for each element associated with the IATA-based prioritisation. </w:t>
            </w:r>
          </w:p>
        </w:tc>
      </w:tr>
      <w:tr w:rsidR="008F7E30" w:rsidRPr="00B82F81" w14:paraId="3F24F4CD" w14:textId="77777777" w:rsidTr="005F0883">
        <w:tc>
          <w:tcPr>
            <w:tcW w:w="907" w:type="dxa"/>
            <w:tcBorders>
              <w:top w:val="single" w:sz="4" w:space="0" w:color="auto"/>
              <w:left w:val="single" w:sz="4" w:space="0" w:color="auto"/>
              <w:bottom w:val="single" w:sz="4" w:space="0" w:color="auto"/>
              <w:right w:val="single" w:sz="4" w:space="0" w:color="auto"/>
            </w:tcBorders>
          </w:tcPr>
          <w:p w14:paraId="462C86EF" w14:textId="4ED8936D" w:rsidR="008F7E30" w:rsidRPr="00B82F81" w:rsidRDefault="008F7E30" w:rsidP="008F7E30">
            <w:pPr>
              <w:rPr>
                <w:rFonts w:ascii="Arial" w:hAnsi="Arial" w:cs="Arial"/>
                <w:lang w:val="en-GB"/>
              </w:rPr>
            </w:pPr>
            <w:r w:rsidRPr="00B82F81">
              <w:rPr>
                <w:rFonts w:ascii="Arial" w:hAnsi="Arial" w:cs="Arial"/>
                <w:lang w:val="en-GB"/>
              </w:rPr>
              <w:t>2018-2</w:t>
            </w:r>
          </w:p>
        </w:tc>
        <w:tc>
          <w:tcPr>
            <w:tcW w:w="4139" w:type="dxa"/>
            <w:tcBorders>
              <w:top w:val="single" w:sz="4" w:space="0" w:color="auto"/>
              <w:left w:val="single" w:sz="4" w:space="0" w:color="auto"/>
              <w:bottom w:val="single" w:sz="4" w:space="0" w:color="auto"/>
              <w:right w:val="single" w:sz="4" w:space="0" w:color="auto"/>
            </w:tcBorders>
          </w:tcPr>
          <w:p w14:paraId="354149C1" w14:textId="2218A539" w:rsidR="008F7E30" w:rsidRPr="00B82F81" w:rsidRDefault="008F7E30" w:rsidP="008F7E30">
            <w:pPr>
              <w:rPr>
                <w:rFonts w:ascii="Arial" w:hAnsi="Arial" w:cs="Arial"/>
                <w:lang w:val="en-GB"/>
              </w:rPr>
            </w:pPr>
            <w:r w:rsidRPr="00B82F81">
              <w:rPr>
                <w:rFonts w:ascii="Arial" w:hAnsi="Arial" w:cs="Arial"/>
                <w:lang w:val="en-GB"/>
              </w:rPr>
              <w:t>Case Study on the Use of an Integrated Approach to Testing and Assessment for Identifying Estrogen Receptor Active Chemicals</w:t>
            </w:r>
          </w:p>
        </w:tc>
        <w:tc>
          <w:tcPr>
            <w:tcW w:w="2154" w:type="dxa"/>
            <w:tcBorders>
              <w:top w:val="single" w:sz="4" w:space="0" w:color="auto"/>
              <w:left w:val="single" w:sz="4" w:space="0" w:color="auto"/>
              <w:bottom w:val="single" w:sz="4" w:space="0" w:color="auto"/>
              <w:right w:val="single" w:sz="4" w:space="0" w:color="auto"/>
            </w:tcBorders>
          </w:tcPr>
          <w:p w14:paraId="24B73D2B" w14:textId="42FAB261" w:rsidR="008F7E30" w:rsidRPr="00B82F81" w:rsidRDefault="008F7E30" w:rsidP="008F7E30">
            <w:pPr>
              <w:rPr>
                <w:rFonts w:ascii="Arial" w:hAnsi="Arial" w:cs="Arial"/>
                <w:lang w:val="en-GB"/>
              </w:rPr>
            </w:pPr>
            <w:r w:rsidRPr="00B82F81">
              <w:rPr>
                <w:rFonts w:ascii="Arial" w:hAnsi="Arial" w:cs="Arial"/>
                <w:lang w:val="en-GB"/>
              </w:rPr>
              <w:t xml:space="preserve">5.4. Uncertainty, Table 5, </w:t>
            </w:r>
            <w:hyperlink r:id="rId94" w:anchor="page=34" w:history="1">
              <w:r w:rsidRPr="00B82F81">
                <w:rPr>
                  <w:rStyle w:val="Hyperlink"/>
                  <w:rFonts w:ascii="Arial" w:hAnsi="Arial" w:cs="Arial"/>
                  <w:lang w:val="en-GB"/>
                </w:rPr>
                <w:t>Page 34-35</w:t>
              </w:r>
            </w:hyperlink>
          </w:p>
        </w:tc>
        <w:tc>
          <w:tcPr>
            <w:tcW w:w="2154" w:type="dxa"/>
            <w:tcBorders>
              <w:top w:val="single" w:sz="4" w:space="0" w:color="auto"/>
              <w:left w:val="single" w:sz="4" w:space="0" w:color="auto"/>
              <w:bottom w:val="single" w:sz="4" w:space="0" w:color="auto"/>
              <w:right w:val="single" w:sz="4" w:space="0" w:color="auto"/>
            </w:tcBorders>
          </w:tcPr>
          <w:p w14:paraId="24B25C1C" w14:textId="32B7667F" w:rsidR="008F7E30" w:rsidRPr="00B82F81" w:rsidRDefault="00B82F81" w:rsidP="008F7E30">
            <w:pPr>
              <w:rPr>
                <w:rFonts w:ascii="Arial" w:hAnsi="Arial" w:cs="Arial"/>
                <w:lang w:val="en-GB"/>
              </w:rPr>
            </w:pPr>
            <w:r>
              <w:rPr>
                <w:rFonts w:ascii="Arial" w:hAnsi="Arial" w:cs="Arial"/>
                <w:lang w:val="en-GB"/>
              </w:rPr>
              <w:t>6</w:t>
            </w:r>
            <w:r w:rsidR="008F7E30" w:rsidRPr="00B82F81">
              <w:rPr>
                <w:rFonts w:ascii="Arial" w:hAnsi="Arial" w:cs="Arial"/>
                <w:lang w:val="en-GB"/>
              </w:rPr>
              <w:t>. Application of IATA; Uncertainty</w:t>
            </w:r>
          </w:p>
        </w:tc>
        <w:tc>
          <w:tcPr>
            <w:tcW w:w="4139" w:type="dxa"/>
            <w:tcBorders>
              <w:top w:val="single" w:sz="4" w:space="0" w:color="auto"/>
              <w:left w:val="single" w:sz="4" w:space="0" w:color="auto"/>
              <w:bottom w:val="single" w:sz="4" w:space="0" w:color="auto"/>
              <w:right w:val="single" w:sz="4" w:space="0" w:color="auto"/>
            </w:tcBorders>
          </w:tcPr>
          <w:p w14:paraId="69846E91" w14:textId="10089B4C" w:rsidR="008F7E30" w:rsidRPr="00B82F81" w:rsidRDefault="008F7E30" w:rsidP="008F7E30">
            <w:pPr>
              <w:rPr>
                <w:rFonts w:ascii="Arial" w:hAnsi="Arial" w:cs="Arial"/>
                <w:lang w:val="en-GB"/>
              </w:rPr>
            </w:pPr>
            <w:r w:rsidRPr="00B82F81">
              <w:rPr>
                <w:rFonts w:ascii="Arial" w:hAnsi="Arial" w:cs="Arial"/>
                <w:lang w:val="en-GB"/>
              </w:rPr>
              <w:t>This uncertainty table provides an overview of the uncertainty analysis for each element associated with the IATA-based prioritisation.</w:t>
            </w:r>
          </w:p>
        </w:tc>
      </w:tr>
      <w:tr w:rsidR="008F7E30" w:rsidRPr="00B82F81" w14:paraId="2374662B" w14:textId="77777777" w:rsidTr="005F0883">
        <w:tc>
          <w:tcPr>
            <w:tcW w:w="907" w:type="dxa"/>
            <w:tcBorders>
              <w:top w:val="single" w:sz="4" w:space="0" w:color="auto"/>
              <w:left w:val="single" w:sz="4" w:space="0" w:color="auto"/>
              <w:bottom w:val="single" w:sz="4" w:space="0" w:color="auto"/>
              <w:right w:val="single" w:sz="4" w:space="0" w:color="auto"/>
            </w:tcBorders>
          </w:tcPr>
          <w:p w14:paraId="42DDEB7D" w14:textId="53A89635" w:rsidR="008F7E30" w:rsidRPr="00B82F81" w:rsidRDefault="008F7E30" w:rsidP="008F7E30">
            <w:pPr>
              <w:rPr>
                <w:rFonts w:ascii="Arial" w:hAnsi="Arial" w:cs="Arial"/>
                <w:lang w:val="en-GB"/>
              </w:rPr>
            </w:pPr>
            <w:r w:rsidRPr="00B82F81">
              <w:rPr>
                <w:rFonts w:ascii="Arial" w:hAnsi="Arial" w:cs="Arial"/>
                <w:lang w:val="en-GB"/>
              </w:rPr>
              <w:t>2018-</w:t>
            </w:r>
            <w:r w:rsidR="00EA0BD2" w:rsidRPr="00B82F81">
              <w:rPr>
                <w:rFonts w:ascii="Arial" w:hAnsi="Arial" w:cs="Arial"/>
                <w:lang w:val="en-GB"/>
              </w:rPr>
              <w:t>1</w:t>
            </w:r>
          </w:p>
        </w:tc>
        <w:tc>
          <w:tcPr>
            <w:tcW w:w="4139" w:type="dxa"/>
            <w:tcBorders>
              <w:top w:val="single" w:sz="4" w:space="0" w:color="auto"/>
              <w:left w:val="single" w:sz="4" w:space="0" w:color="auto"/>
              <w:bottom w:val="single" w:sz="4" w:space="0" w:color="auto"/>
              <w:right w:val="single" w:sz="4" w:space="0" w:color="auto"/>
            </w:tcBorders>
          </w:tcPr>
          <w:p w14:paraId="56A00016" w14:textId="541E072F" w:rsidR="008F7E30" w:rsidRPr="00B82F81" w:rsidRDefault="008F7E30" w:rsidP="008F7E30">
            <w:pPr>
              <w:rPr>
                <w:rFonts w:ascii="Arial" w:hAnsi="Arial" w:cs="Arial"/>
                <w:lang w:val="en-GB"/>
              </w:rPr>
            </w:pPr>
            <w:r w:rsidRPr="00B82F81">
              <w:rPr>
                <w:rFonts w:ascii="Arial" w:hAnsi="Arial" w:cs="Arial"/>
                <w:lang w:val="en-GB"/>
              </w:rPr>
              <w:t>Case Study on the use of Integrated Approaches for Testing and Assessment for Testicular Toxicity of Ethylene Glycol Methyl Ether (EGME)-Related Chemicals</w:t>
            </w:r>
          </w:p>
        </w:tc>
        <w:tc>
          <w:tcPr>
            <w:tcW w:w="2154" w:type="dxa"/>
            <w:tcBorders>
              <w:top w:val="single" w:sz="4" w:space="0" w:color="auto"/>
              <w:left w:val="single" w:sz="4" w:space="0" w:color="auto"/>
              <w:bottom w:val="single" w:sz="4" w:space="0" w:color="auto"/>
              <w:right w:val="single" w:sz="4" w:space="0" w:color="auto"/>
            </w:tcBorders>
          </w:tcPr>
          <w:p w14:paraId="5330387D" w14:textId="0DB3FAD2" w:rsidR="008F7E30" w:rsidRPr="00B82F81" w:rsidRDefault="008F7E30" w:rsidP="008F7E30">
            <w:pPr>
              <w:rPr>
                <w:rFonts w:ascii="Arial" w:eastAsia="MS Mincho" w:hAnsi="Arial" w:cs="Arial"/>
                <w:lang w:val="en-GB"/>
              </w:rPr>
            </w:pPr>
            <w:r w:rsidRPr="00B82F81">
              <w:rPr>
                <w:rFonts w:ascii="Arial" w:hAnsi="Arial" w:cs="Arial"/>
                <w:lang w:val="en-GB"/>
              </w:rPr>
              <w:t xml:space="preserve">Annex I and Annex II. </w:t>
            </w:r>
            <w:hyperlink r:id="rId95" w:anchor="page=35" w:history="1">
              <w:r w:rsidRPr="00B82F81">
                <w:rPr>
                  <w:rStyle w:val="Hyperlink"/>
                  <w:rFonts w:ascii="Arial" w:hAnsi="Arial" w:cs="Arial"/>
                  <w:lang w:val="en-GB"/>
                </w:rPr>
                <w:t>Page 35-59</w:t>
              </w:r>
            </w:hyperlink>
            <w:r w:rsidRPr="00C05870">
              <w:rPr>
                <w:rFonts w:ascii="Arial" w:hAnsi="Arial" w:cs="Arial"/>
                <w:lang w:val="en-GB"/>
              </w:rPr>
              <w:t>,</w:t>
            </w:r>
          </w:p>
        </w:tc>
        <w:tc>
          <w:tcPr>
            <w:tcW w:w="2154" w:type="dxa"/>
            <w:tcBorders>
              <w:top w:val="single" w:sz="4" w:space="0" w:color="auto"/>
              <w:left w:val="single" w:sz="4" w:space="0" w:color="auto"/>
              <w:bottom w:val="single" w:sz="4" w:space="0" w:color="auto"/>
              <w:right w:val="single" w:sz="4" w:space="0" w:color="auto"/>
            </w:tcBorders>
          </w:tcPr>
          <w:p w14:paraId="7BF3EDD8" w14:textId="3FDEAD0C" w:rsidR="008F7E30" w:rsidRPr="00C05870" w:rsidRDefault="008F7E30" w:rsidP="008F7E30">
            <w:pPr>
              <w:rPr>
                <w:rFonts w:ascii="Arial" w:hAnsi="Arial" w:cs="Arial"/>
                <w:lang w:val="en-GB"/>
              </w:rPr>
            </w:pPr>
            <w:r w:rsidRPr="00B82F81">
              <w:rPr>
                <w:rFonts w:ascii="Arial" w:hAnsi="Arial" w:cs="Arial"/>
                <w:lang w:val="en-GB"/>
              </w:rPr>
              <w:t xml:space="preserve">Annex: A summary table for </w:t>
            </w:r>
            <w:r w:rsidR="00912751" w:rsidRPr="00912751">
              <w:rPr>
                <w:rFonts w:ascii="Arial" w:hAnsi="Arial" w:cs="Arial"/>
                <w:i/>
                <w:lang w:val="en-GB"/>
              </w:rPr>
              <w:t>in vivo</w:t>
            </w:r>
            <w:r w:rsidRPr="00C05870">
              <w:rPr>
                <w:rFonts w:ascii="Arial" w:hAnsi="Arial" w:cs="Arial"/>
                <w:lang w:val="en-GB"/>
              </w:rPr>
              <w:t xml:space="preserve"> data </w:t>
            </w:r>
          </w:p>
        </w:tc>
        <w:tc>
          <w:tcPr>
            <w:tcW w:w="4139" w:type="dxa"/>
            <w:tcBorders>
              <w:top w:val="single" w:sz="4" w:space="0" w:color="auto"/>
              <w:left w:val="single" w:sz="4" w:space="0" w:color="auto"/>
              <w:bottom w:val="single" w:sz="4" w:space="0" w:color="auto"/>
              <w:right w:val="single" w:sz="4" w:space="0" w:color="auto"/>
            </w:tcBorders>
          </w:tcPr>
          <w:p w14:paraId="24E7EF1C" w14:textId="601EB993" w:rsidR="008F7E30" w:rsidRPr="00B82F81" w:rsidRDefault="008F7E30" w:rsidP="008F7E30">
            <w:pPr>
              <w:rPr>
                <w:rFonts w:ascii="Arial" w:hAnsi="Arial" w:cs="Arial"/>
                <w:lang w:val="en-GB"/>
              </w:rPr>
            </w:pPr>
            <w:r w:rsidRPr="004D597C">
              <w:rPr>
                <w:rFonts w:ascii="Arial" w:hAnsi="Arial" w:cs="Arial"/>
                <w:lang w:val="en-GB"/>
              </w:rPr>
              <w:t xml:space="preserve">The summary table provides a robust summary for </w:t>
            </w:r>
            <w:r w:rsidR="00912751" w:rsidRPr="00912751">
              <w:rPr>
                <w:rFonts w:ascii="Arial" w:hAnsi="Arial" w:cs="Arial"/>
                <w:i/>
                <w:lang w:val="en-GB"/>
              </w:rPr>
              <w:t>in vivo</w:t>
            </w:r>
            <w:r w:rsidRPr="00C05870">
              <w:rPr>
                <w:rFonts w:ascii="Arial" w:hAnsi="Arial" w:cs="Arial"/>
                <w:lang w:val="en-GB"/>
              </w:rPr>
              <w:t xml:space="preserve"> assay.</w:t>
            </w:r>
          </w:p>
        </w:tc>
      </w:tr>
      <w:tr w:rsidR="008F7E30" w:rsidRPr="00B82F81" w14:paraId="6BAA247E" w14:textId="77777777" w:rsidTr="005F0883">
        <w:tc>
          <w:tcPr>
            <w:tcW w:w="907" w:type="dxa"/>
            <w:tcBorders>
              <w:top w:val="single" w:sz="4" w:space="0" w:color="auto"/>
              <w:left w:val="single" w:sz="4" w:space="0" w:color="auto"/>
              <w:bottom w:val="single" w:sz="4" w:space="0" w:color="auto"/>
              <w:right w:val="single" w:sz="4" w:space="0" w:color="auto"/>
            </w:tcBorders>
          </w:tcPr>
          <w:p w14:paraId="5132E4DA" w14:textId="3EFB7C95" w:rsidR="008F7E30" w:rsidRPr="00B82F81" w:rsidRDefault="008F7E30" w:rsidP="008F7E30">
            <w:pPr>
              <w:rPr>
                <w:rFonts w:ascii="Arial" w:hAnsi="Arial" w:cs="Arial"/>
                <w:lang w:val="en-GB"/>
              </w:rPr>
            </w:pPr>
            <w:r w:rsidRPr="00B82F81">
              <w:rPr>
                <w:rFonts w:ascii="Arial" w:hAnsi="Arial" w:cs="Arial"/>
                <w:lang w:val="en-GB"/>
              </w:rPr>
              <w:lastRenderedPageBreak/>
              <w:t>2019-4</w:t>
            </w:r>
          </w:p>
        </w:tc>
        <w:tc>
          <w:tcPr>
            <w:tcW w:w="4139" w:type="dxa"/>
            <w:tcBorders>
              <w:top w:val="single" w:sz="4" w:space="0" w:color="auto"/>
              <w:left w:val="single" w:sz="4" w:space="0" w:color="auto"/>
              <w:bottom w:val="single" w:sz="4" w:space="0" w:color="auto"/>
              <w:right w:val="single" w:sz="4" w:space="0" w:color="auto"/>
            </w:tcBorders>
          </w:tcPr>
          <w:p w14:paraId="28E99463" w14:textId="06178D67" w:rsidR="008F7E30" w:rsidRPr="00B82F81" w:rsidRDefault="008F7E30" w:rsidP="008F7E30">
            <w:pPr>
              <w:rPr>
                <w:rFonts w:ascii="Arial" w:hAnsi="Arial" w:cs="Arial"/>
                <w:lang w:val="en-GB"/>
              </w:rPr>
            </w:pPr>
            <w:r w:rsidRPr="00B82F81">
              <w:rPr>
                <w:rFonts w:ascii="Arial" w:hAnsi="Arial" w:cs="Arial"/>
                <w:lang w:val="en-GB"/>
              </w:rPr>
              <w:t>Case Study on the Use of Integrated Approaches for Testing and Assessment for Repeated-Dose Toxicity of p-Alkylphenols</w:t>
            </w:r>
          </w:p>
        </w:tc>
        <w:tc>
          <w:tcPr>
            <w:tcW w:w="2154" w:type="dxa"/>
            <w:tcBorders>
              <w:top w:val="single" w:sz="4" w:space="0" w:color="auto"/>
              <w:left w:val="single" w:sz="4" w:space="0" w:color="auto"/>
              <w:bottom w:val="single" w:sz="4" w:space="0" w:color="auto"/>
              <w:right w:val="single" w:sz="4" w:space="0" w:color="auto"/>
            </w:tcBorders>
          </w:tcPr>
          <w:p w14:paraId="6B83E670" w14:textId="1909F534" w:rsidR="008F7E30" w:rsidRPr="00B82F81" w:rsidRDefault="008F7E30" w:rsidP="008F7E30">
            <w:pPr>
              <w:rPr>
                <w:rFonts w:ascii="Arial" w:hAnsi="Arial" w:cs="Arial"/>
                <w:lang w:val="en-GB"/>
              </w:rPr>
            </w:pPr>
            <w:r w:rsidRPr="00B82F81">
              <w:rPr>
                <w:rFonts w:ascii="Arial" w:hAnsi="Arial" w:cs="Arial"/>
                <w:lang w:val="en-GB"/>
              </w:rPr>
              <w:t xml:space="preserve">Annex IV </w:t>
            </w:r>
          </w:p>
        </w:tc>
        <w:tc>
          <w:tcPr>
            <w:tcW w:w="2154" w:type="dxa"/>
            <w:tcBorders>
              <w:top w:val="single" w:sz="4" w:space="0" w:color="auto"/>
              <w:left w:val="single" w:sz="4" w:space="0" w:color="auto"/>
              <w:bottom w:val="single" w:sz="4" w:space="0" w:color="auto"/>
              <w:right w:val="single" w:sz="4" w:space="0" w:color="auto"/>
            </w:tcBorders>
          </w:tcPr>
          <w:p w14:paraId="23EE717C" w14:textId="16282DA3" w:rsidR="008F7E30" w:rsidRPr="00C05870" w:rsidRDefault="008F7E30" w:rsidP="008F7E30">
            <w:pPr>
              <w:rPr>
                <w:rFonts w:ascii="Arial" w:hAnsi="Arial" w:cs="Arial"/>
                <w:lang w:val="en-GB"/>
              </w:rPr>
            </w:pPr>
            <w:r w:rsidRPr="00B82F81">
              <w:rPr>
                <w:rFonts w:ascii="Arial" w:hAnsi="Arial" w:cs="Arial"/>
                <w:lang w:val="en-GB"/>
              </w:rPr>
              <w:t xml:space="preserve">Annex: A summary table for </w:t>
            </w:r>
            <w:r w:rsidR="00912751" w:rsidRPr="00912751">
              <w:rPr>
                <w:rFonts w:ascii="Arial" w:hAnsi="Arial" w:cs="Arial"/>
                <w:i/>
                <w:lang w:val="en-GB"/>
              </w:rPr>
              <w:t>in vivo</w:t>
            </w:r>
            <w:r w:rsidRPr="00C05870">
              <w:rPr>
                <w:rFonts w:ascii="Arial" w:hAnsi="Arial" w:cs="Arial"/>
                <w:lang w:val="en-GB"/>
              </w:rPr>
              <w:t xml:space="preserve"> data</w:t>
            </w:r>
          </w:p>
        </w:tc>
        <w:tc>
          <w:tcPr>
            <w:tcW w:w="4139" w:type="dxa"/>
            <w:tcBorders>
              <w:top w:val="single" w:sz="4" w:space="0" w:color="auto"/>
              <w:left w:val="single" w:sz="4" w:space="0" w:color="auto"/>
              <w:bottom w:val="single" w:sz="4" w:space="0" w:color="auto"/>
              <w:right w:val="single" w:sz="4" w:space="0" w:color="auto"/>
            </w:tcBorders>
          </w:tcPr>
          <w:p w14:paraId="7B1C0FB8" w14:textId="395C1F42" w:rsidR="008F7E30" w:rsidRPr="00B82F81" w:rsidRDefault="008F7E30" w:rsidP="008F7E30">
            <w:pPr>
              <w:rPr>
                <w:rFonts w:ascii="Arial" w:hAnsi="Arial" w:cs="Arial"/>
                <w:lang w:val="en-GB"/>
              </w:rPr>
            </w:pPr>
            <w:r w:rsidRPr="004D597C">
              <w:rPr>
                <w:rFonts w:ascii="Arial" w:hAnsi="Arial" w:cs="Arial"/>
                <w:lang w:val="en-GB"/>
              </w:rPr>
              <w:t xml:space="preserve">The summary table provides a robust summary for </w:t>
            </w:r>
            <w:r w:rsidR="00912751" w:rsidRPr="00912751">
              <w:rPr>
                <w:rFonts w:ascii="Arial" w:hAnsi="Arial" w:cs="Arial"/>
                <w:i/>
                <w:lang w:val="en-GB"/>
              </w:rPr>
              <w:t>in vivo</w:t>
            </w:r>
            <w:r w:rsidRPr="00C05870">
              <w:rPr>
                <w:rFonts w:ascii="Arial" w:hAnsi="Arial" w:cs="Arial"/>
                <w:lang w:val="en-GB"/>
              </w:rPr>
              <w:t xml:space="preserve"> assay.</w:t>
            </w:r>
          </w:p>
        </w:tc>
      </w:tr>
    </w:tbl>
    <w:p w14:paraId="4F9E629A" w14:textId="77777777" w:rsidR="00C0633D" w:rsidRPr="00B82F81" w:rsidRDefault="00C0633D" w:rsidP="00C0633D">
      <w:pPr>
        <w:rPr>
          <w:b/>
        </w:rPr>
      </w:pPr>
    </w:p>
    <w:p w14:paraId="6E6B42D1" w14:textId="62EAF1C4" w:rsidR="004840B0" w:rsidRPr="00B82F81" w:rsidRDefault="004840B0" w:rsidP="00C0633D"/>
    <w:p w14:paraId="2B64EAEB" w14:textId="77777777" w:rsidR="00C0633D" w:rsidRPr="00B82F81" w:rsidRDefault="00C0633D" w:rsidP="00C0633D"/>
    <w:sectPr w:rsidR="00C0633D" w:rsidRPr="00B82F81" w:rsidSect="00BB48E8">
      <w:pgSz w:w="16838" w:h="11906" w:orient="landscape"/>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D38A9" w16cid:durableId="21C31914"/>
  <w16cid:commentId w16cid:paraId="64F32CB0" w16cid:durableId="21C31933"/>
  <w16cid:commentId w16cid:paraId="53C8C500" w16cid:durableId="21C31ADD"/>
  <w16cid:commentId w16cid:paraId="1B5281E8" w16cid:durableId="21C31C3D"/>
  <w16cid:commentId w16cid:paraId="288299A0" w16cid:durableId="21C0390C"/>
  <w16cid:commentId w16cid:paraId="332A4E9E" w16cid:durableId="21C31C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A07FB" w14:textId="77777777" w:rsidR="00952B38" w:rsidRDefault="00952B38" w:rsidP="000633F4">
      <w:pPr>
        <w:spacing w:after="0" w:line="240" w:lineRule="auto"/>
      </w:pPr>
      <w:r>
        <w:separator/>
      </w:r>
    </w:p>
  </w:endnote>
  <w:endnote w:type="continuationSeparator" w:id="0">
    <w:p w14:paraId="426C4F8A" w14:textId="77777777" w:rsidR="00952B38" w:rsidRDefault="00952B38" w:rsidP="000633F4">
      <w:pPr>
        <w:spacing w:after="0" w:line="240" w:lineRule="auto"/>
      </w:pPr>
      <w:r>
        <w:continuationSeparator/>
      </w:r>
    </w:p>
  </w:endnote>
  <w:endnote w:type="continuationNotice" w:id="1">
    <w:p w14:paraId="36E3A5CA" w14:textId="77777777" w:rsidR="00952B38" w:rsidRDefault="00952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107617"/>
      <w:docPartObj>
        <w:docPartGallery w:val="Page Numbers (Bottom of Page)"/>
        <w:docPartUnique/>
      </w:docPartObj>
    </w:sdtPr>
    <w:sdtEndPr>
      <w:rPr>
        <w:noProof/>
      </w:rPr>
    </w:sdtEndPr>
    <w:sdtContent>
      <w:p w14:paraId="6F46A492" w14:textId="682C60D4" w:rsidR="00952B38" w:rsidRDefault="00952B38">
        <w:pPr>
          <w:pStyle w:val="Footer"/>
          <w:jc w:val="center"/>
        </w:pPr>
        <w:r>
          <w:fldChar w:fldCharType="begin"/>
        </w:r>
        <w:r>
          <w:instrText xml:space="preserve"> PAGE   \* MERGEFORMAT </w:instrText>
        </w:r>
        <w:r>
          <w:fldChar w:fldCharType="separate"/>
        </w:r>
        <w:r w:rsidR="00AF3CDF">
          <w:rPr>
            <w:noProof/>
          </w:rPr>
          <w:t>1</w:t>
        </w:r>
        <w:r>
          <w:rPr>
            <w:noProof/>
          </w:rPr>
          <w:fldChar w:fldCharType="end"/>
        </w:r>
      </w:p>
    </w:sdtContent>
  </w:sdt>
  <w:p w14:paraId="04245D91" w14:textId="77777777" w:rsidR="00952B38" w:rsidRDefault="00952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970F5" w14:textId="77777777" w:rsidR="00952B38" w:rsidRDefault="00952B38" w:rsidP="000633F4">
      <w:pPr>
        <w:spacing w:after="0" w:line="240" w:lineRule="auto"/>
      </w:pPr>
      <w:r>
        <w:separator/>
      </w:r>
    </w:p>
  </w:footnote>
  <w:footnote w:type="continuationSeparator" w:id="0">
    <w:p w14:paraId="16226705" w14:textId="77777777" w:rsidR="00952B38" w:rsidRDefault="00952B38" w:rsidP="000633F4">
      <w:pPr>
        <w:spacing w:after="0" w:line="240" w:lineRule="auto"/>
      </w:pPr>
      <w:r>
        <w:continuationSeparator/>
      </w:r>
    </w:p>
  </w:footnote>
  <w:footnote w:type="continuationNotice" w:id="1">
    <w:p w14:paraId="709B7056" w14:textId="77777777" w:rsidR="00952B38" w:rsidRDefault="00952B38">
      <w:pPr>
        <w:spacing w:after="0" w:line="240" w:lineRule="auto"/>
      </w:pPr>
    </w:p>
  </w:footnote>
  <w:footnote w:id="2">
    <w:p w14:paraId="5DAD119B" w14:textId="2F4D5C7A" w:rsidR="00952B38" w:rsidRDefault="00952B38">
      <w:pPr>
        <w:pStyle w:val="FootnoteText"/>
      </w:pPr>
      <w:r>
        <w:rPr>
          <w:rStyle w:val="FootnoteReference"/>
        </w:rPr>
        <w:footnoteRef/>
      </w:r>
      <w:r>
        <w:t xml:space="preserve"> AOP-KB. </w:t>
      </w:r>
      <w:hyperlink r:id="rId1" w:history="1">
        <w:r w:rsidRPr="00753F2F">
          <w:rPr>
            <w:rStyle w:val="Hyperlink"/>
          </w:rPr>
          <w:t>https://aopkb.oecd.org/</w:t>
        </w:r>
      </w:hyperlink>
      <w:r>
        <w:t xml:space="preserve"> </w:t>
      </w:r>
    </w:p>
  </w:footnote>
  <w:footnote w:id="3">
    <w:p w14:paraId="1332C0A3" w14:textId="78F9C702" w:rsidR="00952B38" w:rsidRPr="00132387" w:rsidRDefault="00952B38">
      <w:pPr>
        <w:pStyle w:val="FootnoteText"/>
        <w:rPr>
          <w:lang w:val="nl-NL"/>
        </w:rPr>
      </w:pPr>
      <w:r>
        <w:rPr>
          <w:rStyle w:val="FootnoteReference"/>
        </w:rPr>
        <w:footnoteRef/>
      </w:r>
      <w:r w:rsidRPr="0087047D">
        <w:rPr>
          <w:lang w:val="nl-NL"/>
        </w:rPr>
        <w:t xml:space="preserve"> AOP Wiki</w:t>
      </w:r>
      <w:r w:rsidRPr="0087047D">
        <w:rPr>
          <w:lang w:val="nl-NL" w:eastAsia="ja-JP"/>
        </w:rPr>
        <w:t>.</w:t>
      </w:r>
      <w:r w:rsidRPr="0087047D">
        <w:rPr>
          <w:lang w:val="nl-NL"/>
        </w:rPr>
        <w:t xml:space="preserve"> </w:t>
      </w:r>
      <w:hyperlink r:id="rId2" w:history="1">
        <w:r w:rsidRPr="00132387">
          <w:rPr>
            <w:rStyle w:val="Hyperlink"/>
            <w:lang w:val="nl-NL"/>
          </w:rPr>
          <w:t>https://aopwiki.org/</w:t>
        </w:r>
      </w:hyperlink>
    </w:p>
  </w:footnote>
  <w:footnote w:id="4">
    <w:p w14:paraId="1D14E9D6" w14:textId="77777777" w:rsidR="00952B38" w:rsidRPr="0018602D" w:rsidRDefault="00952B38">
      <w:pPr>
        <w:pStyle w:val="FootnoteText"/>
        <w:rPr>
          <w:rFonts w:eastAsia="MS Mincho"/>
          <w:lang w:eastAsia="ja-JP"/>
        </w:rPr>
      </w:pPr>
      <w:r>
        <w:rPr>
          <w:rStyle w:val="FootnoteReference"/>
        </w:rPr>
        <w:footnoteRef/>
      </w:r>
      <w:r>
        <w:t xml:space="preserve"> </w:t>
      </w:r>
      <w:r w:rsidRPr="00E63863">
        <w:t>Effectopedia</w:t>
      </w:r>
      <w:r>
        <w:rPr>
          <w:rFonts w:eastAsia="MS Mincho" w:hint="eastAsia"/>
          <w:lang w:eastAsia="ja-JP"/>
        </w:rPr>
        <w:t>.</w:t>
      </w:r>
      <w:r w:rsidRPr="00E63863">
        <w:t xml:space="preserve"> </w:t>
      </w:r>
      <w:hyperlink r:id="rId3" w:history="1">
        <w:r w:rsidRPr="00A646BC">
          <w:rPr>
            <w:rStyle w:val="Hyperlink"/>
          </w:rPr>
          <w:t>https://www.effectopedia.org/</w:t>
        </w:r>
      </w:hyperlink>
      <w:r>
        <w:rPr>
          <w:rFonts w:eastAsia="MS Mincho" w:hint="eastAsia"/>
          <w:lang w:eastAsia="ja-JP"/>
        </w:rPr>
        <w:t xml:space="preserve"> </w:t>
      </w:r>
    </w:p>
  </w:footnote>
  <w:footnote w:id="5">
    <w:p w14:paraId="465B6832" w14:textId="77777777" w:rsidR="00952B38" w:rsidRPr="0018602D" w:rsidRDefault="00952B38" w:rsidP="0018602D">
      <w:pPr>
        <w:pStyle w:val="FootnoteText"/>
        <w:ind w:left="181" w:hanging="181"/>
        <w:rPr>
          <w:rFonts w:eastAsia="MS Mincho"/>
          <w:lang w:eastAsia="ja-JP"/>
        </w:rPr>
      </w:pPr>
      <w:r>
        <w:rPr>
          <w:rStyle w:val="FootnoteReference"/>
        </w:rPr>
        <w:footnoteRef/>
      </w:r>
      <w:r>
        <w:t xml:space="preserve"> </w:t>
      </w:r>
      <w:r>
        <w:rPr>
          <w:rFonts w:hint="eastAsia"/>
          <w:lang w:eastAsia="ja-JP"/>
        </w:rPr>
        <w:t xml:space="preserve">JRC, </w:t>
      </w:r>
      <w:r w:rsidRPr="002C3701">
        <w:t>EURL ECVAM Database service on Alternative Methods to animal experimentation (DB-ALM)</w:t>
      </w:r>
      <w:r>
        <w:rPr>
          <w:rFonts w:hint="eastAsia"/>
          <w:lang w:eastAsia="ja-JP"/>
        </w:rPr>
        <w:t xml:space="preserve">. </w:t>
      </w:r>
      <w:hyperlink r:id="rId4" w:history="1">
        <w:r w:rsidRPr="00E9356F">
          <w:rPr>
            <w:rStyle w:val="Hyperlink"/>
            <w:rFonts w:ascii="Calibri" w:hAnsi="Calibri"/>
          </w:rPr>
          <w:t>https://ecvam-dbalm.jrc.ec.europa.eu/</w:t>
        </w:r>
      </w:hyperlink>
      <w:r>
        <w:rPr>
          <w:rFonts w:eastAsia="MS Mincho" w:hint="eastAsia"/>
          <w:lang w:eastAsia="ja-JP"/>
        </w:rPr>
        <w:t>.</w:t>
      </w:r>
    </w:p>
  </w:footnote>
  <w:footnote w:id="6">
    <w:p w14:paraId="3BB91B82" w14:textId="3950CE41" w:rsidR="00952B38" w:rsidRPr="00BC658D" w:rsidRDefault="00952B38" w:rsidP="00CD51AB">
      <w:pPr>
        <w:pStyle w:val="FootnoteText"/>
        <w:rPr>
          <w:rFonts w:eastAsia="MS Mincho"/>
          <w:lang w:eastAsia="ja-JP"/>
        </w:rPr>
      </w:pPr>
      <w:r>
        <w:rPr>
          <w:rStyle w:val="FootnoteReference"/>
        </w:rPr>
        <w:footnoteRef/>
      </w:r>
      <w:r>
        <w:t xml:space="preserve"> </w:t>
      </w:r>
      <w:r>
        <w:rPr>
          <w:rFonts w:eastAsia="MS Mincho" w:hint="eastAsia"/>
          <w:lang w:eastAsia="ja-JP"/>
        </w:rPr>
        <w:t xml:space="preserve">U.S. EPA, </w:t>
      </w:r>
      <w:r w:rsidRPr="00806793">
        <w:rPr>
          <w:rFonts w:eastAsia="MS Mincho"/>
          <w:lang w:eastAsia="ja-JP"/>
        </w:rPr>
        <w:t>Toxicity ForeCaster (ToxCast™) Data</w:t>
      </w:r>
      <w:r>
        <w:rPr>
          <w:rFonts w:eastAsia="MS Mincho" w:hint="eastAsia"/>
          <w:lang w:eastAsia="ja-JP"/>
        </w:rPr>
        <w:t xml:space="preserve"> </w:t>
      </w:r>
      <w:hyperlink r:id="rId5" w:history="1">
        <w:r w:rsidRPr="001C0270">
          <w:rPr>
            <w:rStyle w:val="Hyperlink"/>
            <w:rFonts w:eastAsia="MS Mincho"/>
            <w:lang w:eastAsia="ja-JP"/>
          </w:rPr>
          <w:t>https://www.epa.gov/chemical-research/toxicity-forecaster-toxcasttm-data</w:t>
        </w:r>
      </w:hyperlink>
      <w:r>
        <w:rPr>
          <w:rFonts w:eastAsia="MS Mincho"/>
          <w:lang w:eastAsia="ja-JP"/>
        </w:rPr>
        <w:t xml:space="preserve"> </w:t>
      </w:r>
    </w:p>
  </w:footnote>
  <w:footnote w:id="7">
    <w:p w14:paraId="6D11D2CE" w14:textId="16DF2B76" w:rsidR="00952B38" w:rsidRPr="00132387" w:rsidRDefault="00952B38">
      <w:pPr>
        <w:pStyle w:val="FootnoteText"/>
        <w:rPr>
          <w:rFonts w:eastAsia="MS Mincho"/>
          <w:lang w:eastAsia="ja-JP"/>
        </w:rPr>
      </w:pPr>
      <w:r>
        <w:rPr>
          <w:rStyle w:val="FootnoteReference"/>
        </w:rPr>
        <w:footnoteRef/>
      </w:r>
      <w:r>
        <w:t xml:space="preserve"> </w:t>
      </w:r>
      <w:r w:rsidRPr="00C8646F">
        <w:t xml:space="preserve">QMRF is available: </w:t>
      </w:r>
      <w:hyperlink r:id="rId6" w:history="1">
        <w:r w:rsidRPr="00753F2F">
          <w:rPr>
            <w:rStyle w:val="Hyperlink"/>
          </w:rPr>
          <w:t>https://community.oecd.org/docs/DOC-144256</w:t>
        </w:r>
      </w:hyperlink>
      <w:r>
        <w:t xml:space="preserve"> </w:t>
      </w:r>
    </w:p>
  </w:footnote>
  <w:footnote w:id="8">
    <w:p w14:paraId="3EE0124B" w14:textId="44FF1E60" w:rsidR="00952B38" w:rsidRPr="00132387" w:rsidRDefault="00952B38">
      <w:pPr>
        <w:pStyle w:val="FootnoteText"/>
        <w:rPr>
          <w:rFonts w:eastAsia="MS Mincho"/>
          <w:lang w:eastAsia="ja-JP"/>
        </w:rPr>
      </w:pPr>
      <w:r>
        <w:rPr>
          <w:rStyle w:val="FootnoteReference"/>
        </w:rPr>
        <w:footnoteRef/>
      </w:r>
      <w:r>
        <w:t xml:space="preserve"> QPRF is available: </w:t>
      </w:r>
      <w:hyperlink r:id="rId7" w:history="1">
        <w:r w:rsidRPr="00C9520B">
          <w:rPr>
            <w:rStyle w:val="Hyperlink"/>
          </w:rPr>
          <w:t>https://community.oecd.org/docs/DOC-144257</w:t>
        </w:r>
      </w:hyperlink>
    </w:p>
  </w:footnote>
  <w:footnote w:id="9">
    <w:p w14:paraId="47611FCB" w14:textId="5C7DF7F1" w:rsidR="00952B38" w:rsidRPr="0078467B" w:rsidRDefault="00952B38" w:rsidP="008269C6">
      <w:pPr>
        <w:pStyle w:val="FootnoteText"/>
        <w:rPr>
          <w:rFonts w:eastAsia="MS Mincho"/>
          <w:lang w:eastAsia="ja-JP"/>
        </w:rPr>
      </w:pPr>
      <w:r>
        <w:rPr>
          <w:rStyle w:val="FootnoteReference"/>
        </w:rPr>
        <w:footnoteRef/>
      </w:r>
      <w:r>
        <w:t xml:space="preserve"> </w:t>
      </w:r>
      <w:r w:rsidRPr="002C7804">
        <w:t xml:space="preserve">JRC, QSAR Model Database. </w:t>
      </w:r>
      <w:hyperlink r:id="rId8" w:history="1">
        <w:r w:rsidRPr="001C0270">
          <w:rPr>
            <w:rStyle w:val="Hyperlink"/>
          </w:rPr>
          <w:t>https://qsardb.jrc.ec.europa.eu/qmrf/</w:t>
        </w:r>
      </w:hyperlink>
      <w:r>
        <w:t xml:space="preserve"> </w:t>
      </w:r>
    </w:p>
  </w:footnote>
  <w:footnote w:id="10">
    <w:p w14:paraId="770887DC" w14:textId="720393D6" w:rsidR="00952B38" w:rsidRPr="004B76B5" w:rsidRDefault="00952B38">
      <w:pPr>
        <w:pStyle w:val="FootnoteText"/>
      </w:pPr>
      <w:r>
        <w:rPr>
          <w:rStyle w:val="FootnoteReference"/>
        </w:rPr>
        <w:footnoteRef/>
      </w:r>
      <w:r>
        <w:t xml:space="preserve"> ECHA – Template for Weight of Evidence / Uncertainty in Hazard Assessment </w:t>
      </w:r>
      <w:hyperlink r:id="rId9" w:history="1">
        <w:r w:rsidRPr="00AD1C74">
          <w:rPr>
            <w:rStyle w:val="Hyperlink"/>
          </w:rPr>
          <w:t>https://echa.europa.eu/documents/10162//17169198/template_for_weight_of_evidence_en.docx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12552" w14:textId="77777777" w:rsidR="00952B38" w:rsidRPr="007F0B36" w:rsidRDefault="00952B38" w:rsidP="00F23865">
    <w:pPr>
      <w:pStyle w:val="Header"/>
      <w:jc w:val="center"/>
    </w:pPr>
    <w:r w:rsidRPr="007F0B36">
      <w:t xml:space="preserve">OECD IATA Case Studies </w:t>
    </w:r>
    <w:r>
      <w:t>Project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DE6"/>
    <w:multiLevelType w:val="hybridMultilevel"/>
    <w:tmpl w:val="86FABD62"/>
    <w:lvl w:ilvl="0" w:tplc="F0D60C62">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3C6662"/>
    <w:multiLevelType w:val="hybridMultilevel"/>
    <w:tmpl w:val="A2400C8A"/>
    <w:lvl w:ilvl="0" w:tplc="809C691C">
      <w:start w:val="1"/>
      <w:numFmt w:val="bullet"/>
      <w:lvlText w:val=""/>
      <w:lvlJc w:val="left"/>
      <w:pPr>
        <w:ind w:left="720" w:hanging="360"/>
      </w:pPr>
      <w:rPr>
        <w:rFonts w:ascii="Symbol" w:hAnsi="Symbol" w:hint="default"/>
        <w:sz w:val="22"/>
        <w:szCs w:val="22"/>
      </w:rPr>
    </w:lvl>
    <w:lvl w:ilvl="1" w:tplc="B484D20E">
      <w:start w:val="1"/>
      <w:numFmt w:val="bullet"/>
      <w:lvlText w:val=""/>
      <w:lvlJc w:val="left"/>
      <w:pPr>
        <w:ind w:left="1440" w:hanging="360"/>
      </w:pPr>
      <w:rPr>
        <w:rFonts w:ascii="Symbol" w:hAnsi="Symbol" w:hint="default"/>
        <w:strike w:val="0"/>
      </w:rPr>
    </w:lvl>
    <w:lvl w:ilvl="2" w:tplc="08090005">
      <w:start w:val="1"/>
      <w:numFmt w:val="bullet"/>
      <w:lvlText w:val=""/>
      <w:lvlJc w:val="left"/>
      <w:pPr>
        <w:ind w:left="2160" w:hanging="360"/>
      </w:pPr>
      <w:rPr>
        <w:rFonts w:ascii="Wingdings" w:hAnsi="Wingdings" w:hint="default"/>
      </w:rPr>
    </w:lvl>
    <w:lvl w:ilvl="3" w:tplc="06C2BD7C">
      <w:numFmt w:val="bullet"/>
      <w:lvlText w:val="•"/>
      <w:lvlJc w:val="left"/>
      <w:pPr>
        <w:ind w:left="2880" w:hanging="360"/>
      </w:pPr>
      <w:rPr>
        <w:rFonts w:ascii="Calibri" w:eastAsiaTheme="minorEastAsia" w:hAnsi="Calibri" w:cstheme="minorBidi" w:hint="default"/>
        <w:sz w:val="22"/>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559EE"/>
    <w:multiLevelType w:val="hybridMultilevel"/>
    <w:tmpl w:val="9440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F5FB0"/>
    <w:multiLevelType w:val="hybridMultilevel"/>
    <w:tmpl w:val="3A0077E0"/>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 w15:restartNumberingAfterBreak="0">
    <w:nsid w:val="1276643C"/>
    <w:multiLevelType w:val="hybridMultilevel"/>
    <w:tmpl w:val="1E9CB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B0D46"/>
    <w:multiLevelType w:val="hybridMultilevel"/>
    <w:tmpl w:val="ACD88216"/>
    <w:lvl w:ilvl="0" w:tplc="08090001">
      <w:start w:val="1"/>
      <w:numFmt w:val="bullet"/>
      <w:lvlText w:val=""/>
      <w:lvlJc w:val="left"/>
      <w:pPr>
        <w:ind w:left="1271" w:hanging="360"/>
      </w:pPr>
      <w:rPr>
        <w:rFonts w:ascii="Symbol" w:hAnsi="Symbol" w:hint="default"/>
      </w:rPr>
    </w:lvl>
    <w:lvl w:ilvl="1" w:tplc="08090003" w:tentative="1">
      <w:start w:val="1"/>
      <w:numFmt w:val="bullet"/>
      <w:lvlText w:val="o"/>
      <w:lvlJc w:val="left"/>
      <w:pPr>
        <w:ind w:left="1991" w:hanging="360"/>
      </w:pPr>
      <w:rPr>
        <w:rFonts w:ascii="Courier New" w:hAnsi="Courier New" w:cs="Courier New" w:hint="default"/>
      </w:rPr>
    </w:lvl>
    <w:lvl w:ilvl="2" w:tplc="08090005" w:tentative="1">
      <w:start w:val="1"/>
      <w:numFmt w:val="bullet"/>
      <w:lvlText w:val=""/>
      <w:lvlJc w:val="left"/>
      <w:pPr>
        <w:ind w:left="2711" w:hanging="360"/>
      </w:pPr>
      <w:rPr>
        <w:rFonts w:ascii="Wingdings" w:hAnsi="Wingdings" w:hint="default"/>
      </w:rPr>
    </w:lvl>
    <w:lvl w:ilvl="3" w:tplc="08090001" w:tentative="1">
      <w:start w:val="1"/>
      <w:numFmt w:val="bullet"/>
      <w:lvlText w:val=""/>
      <w:lvlJc w:val="left"/>
      <w:pPr>
        <w:ind w:left="3431" w:hanging="360"/>
      </w:pPr>
      <w:rPr>
        <w:rFonts w:ascii="Symbol" w:hAnsi="Symbol" w:hint="default"/>
      </w:rPr>
    </w:lvl>
    <w:lvl w:ilvl="4" w:tplc="08090003" w:tentative="1">
      <w:start w:val="1"/>
      <w:numFmt w:val="bullet"/>
      <w:lvlText w:val="o"/>
      <w:lvlJc w:val="left"/>
      <w:pPr>
        <w:ind w:left="4151" w:hanging="360"/>
      </w:pPr>
      <w:rPr>
        <w:rFonts w:ascii="Courier New" w:hAnsi="Courier New" w:cs="Courier New" w:hint="default"/>
      </w:rPr>
    </w:lvl>
    <w:lvl w:ilvl="5" w:tplc="08090005" w:tentative="1">
      <w:start w:val="1"/>
      <w:numFmt w:val="bullet"/>
      <w:lvlText w:val=""/>
      <w:lvlJc w:val="left"/>
      <w:pPr>
        <w:ind w:left="4871" w:hanging="360"/>
      </w:pPr>
      <w:rPr>
        <w:rFonts w:ascii="Wingdings" w:hAnsi="Wingdings" w:hint="default"/>
      </w:rPr>
    </w:lvl>
    <w:lvl w:ilvl="6" w:tplc="08090001" w:tentative="1">
      <w:start w:val="1"/>
      <w:numFmt w:val="bullet"/>
      <w:lvlText w:val=""/>
      <w:lvlJc w:val="left"/>
      <w:pPr>
        <w:ind w:left="5591" w:hanging="360"/>
      </w:pPr>
      <w:rPr>
        <w:rFonts w:ascii="Symbol" w:hAnsi="Symbol" w:hint="default"/>
      </w:rPr>
    </w:lvl>
    <w:lvl w:ilvl="7" w:tplc="08090003" w:tentative="1">
      <w:start w:val="1"/>
      <w:numFmt w:val="bullet"/>
      <w:lvlText w:val="o"/>
      <w:lvlJc w:val="left"/>
      <w:pPr>
        <w:ind w:left="6311" w:hanging="360"/>
      </w:pPr>
      <w:rPr>
        <w:rFonts w:ascii="Courier New" w:hAnsi="Courier New" w:cs="Courier New" w:hint="default"/>
      </w:rPr>
    </w:lvl>
    <w:lvl w:ilvl="8" w:tplc="08090005" w:tentative="1">
      <w:start w:val="1"/>
      <w:numFmt w:val="bullet"/>
      <w:lvlText w:val=""/>
      <w:lvlJc w:val="left"/>
      <w:pPr>
        <w:ind w:left="7031" w:hanging="360"/>
      </w:pPr>
      <w:rPr>
        <w:rFonts w:ascii="Wingdings" w:hAnsi="Wingdings" w:hint="default"/>
      </w:rPr>
    </w:lvl>
  </w:abstractNum>
  <w:abstractNum w:abstractNumId="6" w15:restartNumberingAfterBreak="0">
    <w:nsid w:val="229D20BA"/>
    <w:multiLevelType w:val="hybridMultilevel"/>
    <w:tmpl w:val="78C6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B2D5E"/>
    <w:multiLevelType w:val="hybridMultilevel"/>
    <w:tmpl w:val="9E8E1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EB71D3"/>
    <w:multiLevelType w:val="hybridMultilevel"/>
    <w:tmpl w:val="12A230C8"/>
    <w:lvl w:ilvl="0" w:tplc="007E1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E372A"/>
    <w:multiLevelType w:val="hybridMultilevel"/>
    <w:tmpl w:val="0994DB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B281E0D"/>
    <w:multiLevelType w:val="hybridMultilevel"/>
    <w:tmpl w:val="2FE6107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1" w15:restartNumberingAfterBreak="0">
    <w:nsid w:val="3D2044AF"/>
    <w:multiLevelType w:val="hybridMultilevel"/>
    <w:tmpl w:val="855EDF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D716868"/>
    <w:multiLevelType w:val="hybridMultilevel"/>
    <w:tmpl w:val="74F0B112"/>
    <w:lvl w:ilvl="0" w:tplc="B76C22C0">
      <w:start w:val="1"/>
      <w:numFmt w:val="lowerRoman"/>
      <w:lvlText w:val="(%1)"/>
      <w:lvlJc w:val="left"/>
      <w:pPr>
        <w:ind w:left="360" w:hanging="360"/>
      </w:pPr>
      <w:rPr>
        <w:rFonts w:ascii="Calibri" w:eastAsiaTheme="minorHAnsi" w:hAnsi="Calibri" w:cs="Times New Roman"/>
        <w:b/>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3" w15:restartNumberingAfterBreak="0">
    <w:nsid w:val="419D672F"/>
    <w:multiLevelType w:val="hybridMultilevel"/>
    <w:tmpl w:val="98AEE96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1D83919"/>
    <w:multiLevelType w:val="hybridMultilevel"/>
    <w:tmpl w:val="5FC44B4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4A1424EA"/>
    <w:multiLevelType w:val="hybridMultilevel"/>
    <w:tmpl w:val="059EF262"/>
    <w:lvl w:ilvl="0" w:tplc="34A632A6">
      <w:start w:val="1"/>
      <w:numFmt w:val="bullet"/>
      <w:lvlText w:val=""/>
      <w:lvlJc w:val="left"/>
      <w:pPr>
        <w:ind w:left="1146" w:hanging="360"/>
      </w:pPr>
      <w:rPr>
        <w:rFonts w:ascii="Symbol" w:hAnsi="Symbol" w:hint="default"/>
        <w:sz w:val="22"/>
        <w:szCs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3A223A2"/>
    <w:multiLevelType w:val="hybridMultilevel"/>
    <w:tmpl w:val="5282C1E8"/>
    <w:lvl w:ilvl="0" w:tplc="209A1D8E">
      <w:numFmt w:val="bullet"/>
      <w:lvlText w:val="-"/>
      <w:lvlJc w:val="left"/>
      <w:pPr>
        <w:ind w:left="360" w:hanging="360"/>
      </w:pPr>
      <w:rPr>
        <w:rFonts w:ascii="Calibri" w:eastAsiaTheme="minorHAnsi" w:hAnsi="Calibri" w:cs="Times New Roman"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7" w15:restartNumberingAfterBreak="0">
    <w:nsid w:val="55C401D3"/>
    <w:multiLevelType w:val="hybridMultilevel"/>
    <w:tmpl w:val="B57020F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74BC12EF"/>
    <w:multiLevelType w:val="hybridMultilevel"/>
    <w:tmpl w:val="E81E4DE6"/>
    <w:lvl w:ilvl="0" w:tplc="09F667A2">
      <w:start w:val="1"/>
      <w:numFmt w:val="bullet"/>
      <w:lvlText w:val=""/>
      <w:lvlJc w:val="left"/>
      <w:pPr>
        <w:ind w:left="1146" w:hanging="360"/>
      </w:pPr>
      <w:rPr>
        <w:rFonts w:ascii="Symbol" w:hAnsi="Symbol" w:hint="default"/>
        <w:sz w:val="22"/>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7"/>
  </w:num>
  <w:num w:numId="2">
    <w:abstractNumId w:val="14"/>
  </w:num>
  <w:num w:numId="3">
    <w:abstractNumId w:val="10"/>
  </w:num>
  <w:num w:numId="4">
    <w:abstractNumId w:val="3"/>
  </w:num>
  <w:num w:numId="5">
    <w:abstractNumId w:val="2"/>
  </w:num>
  <w:num w:numId="6">
    <w:abstractNumId w:val="5"/>
  </w:num>
  <w:num w:numId="7">
    <w:abstractNumId w:val="9"/>
  </w:num>
  <w:num w:numId="8">
    <w:abstractNumId w:val="4"/>
  </w:num>
  <w:num w:numId="9">
    <w:abstractNumId w:val="1"/>
  </w:num>
  <w:num w:numId="10">
    <w:abstractNumId w:val="17"/>
  </w:num>
  <w:num w:numId="11">
    <w:abstractNumId w:val="18"/>
  </w:num>
  <w:num w:numId="12">
    <w:abstractNumId w:val="11"/>
  </w:num>
  <w:num w:numId="13">
    <w:abstractNumId w:val="15"/>
  </w:num>
  <w:num w:numId="14">
    <w:abstractNumId w:val="15"/>
  </w:num>
  <w:num w:numId="15">
    <w:abstractNumId w:val="0"/>
  </w:num>
  <w:num w:numId="16">
    <w:abstractNumId w:val="18"/>
  </w:num>
  <w:num w:numId="17">
    <w:abstractNumId w:val="6"/>
  </w:num>
  <w:num w:numId="18">
    <w:abstractNumId w:val="18"/>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nl-NL" w:vendorID="64" w:dllVersion="131078" w:nlCheck="1" w:checkStyle="0"/>
  <w:activeWritingStyle w:appName="MSWord" w:lang="fr-CA" w:vendorID="64" w:dllVersion="131078" w:nlCheck="1" w:checkStyle="0"/>
  <w:activeWritingStyle w:appName="MSWord" w:lang="fr-FR" w:vendorID="64" w:dllVersion="131078" w:nlCheck="1" w:checkStyle="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57"/>
    <w:rsid w:val="00000398"/>
    <w:rsid w:val="00003428"/>
    <w:rsid w:val="000062FA"/>
    <w:rsid w:val="00013F26"/>
    <w:rsid w:val="000204CC"/>
    <w:rsid w:val="000233B0"/>
    <w:rsid w:val="0002361E"/>
    <w:rsid w:val="0002617E"/>
    <w:rsid w:val="00032DB2"/>
    <w:rsid w:val="000415FF"/>
    <w:rsid w:val="00044E09"/>
    <w:rsid w:val="0005337E"/>
    <w:rsid w:val="00055E23"/>
    <w:rsid w:val="0006215A"/>
    <w:rsid w:val="000633F4"/>
    <w:rsid w:val="000669A2"/>
    <w:rsid w:val="0006745F"/>
    <w:rsid w:val="0007461E"/>
    <w:rsid w:val="00075406"/>
    <w:rsid w:val="000756EB"/>
    <w:rsid w:val="00075C1C"/>
    <w:rsid w:val="000850D6"/>
    <w:rsid w:val="00094D6F"/>
    <w:rsid w:val="00095523"/>
    <w:rsid w:val="000A38A4"/>
    <w:rsid w:val="000A629E"/>
    <w:rsid w:val="000B4EDE"/>
    <w:rsid w:val="000B69A8"/>
    <w:rsid w:val="000D18E5"/>
    <w:rsid w:val="000D4D81"/>
    <w:rsid w:val="000D7ADB"/>
    <w:rsid w:val="000E13BF"/>
    <w:rsid w:val="000E1F75"/>
    <w:rsid w:val="000E6F6F"/>
    <w:rsid w:val="000E7FC6"/>
    <w:rsid w:val="000F2954"/>
    <w:rsid w:val="00103AAD"/>
    <w:rsid w:val="00107D99"/>
    <w:rsid w:val="0011303E"/>
    <w:rsid w:val="00115B3C"/>
    <w:rsid w:val="00123E78"/>
    <w:rsid w:val="00132387"/>
    <w:rsid w:val="0013249B"/>
    <w:rsid w:val="001329A1"/>
    <w:rsid w:val="00132FFD"/>
    <w:rsid w:val="00137074"/>
    <w:rsid w:val="00145941"/>
    <w:rsid w:val="00147800"/>
    <w:rsid w:val="0015303E"/>
    <w:rsid w:val="00154EBD"/>
    <w:rsid w:val="00163453"/>
    <w:rsid w:val="00165E74"/>
    <w:rsid w:val="00166B2D"/>
    <w:rsid w:val="0016764B"/>
    <w:rsid w:val="0017309D"/>
    <w:rsid w:val="00173F40"/>
    <w:rsid w:val="00174875"/>
    <w:rsid w:val="0018602D"/>
    <w:rsid w:val="001865BE"/>
    <w:rsid w:val="00187EB1"/>
    <w:rsid w:val="0019046E"/>
    <w:rsid w:val="0019301D"/>
    <w:rsid w:val="00197230"/>
    <w:rsid w:val="001A0E74"/>
    <w:rsid w:val="001A6418"/>
    <w:rsid w:val="001B074E"/>
    <w:rsid w:val="001B757B"/>
    <w:rsid w:val="001C099A"/>
    <w:rsid w:val="001D19FC"/>
    <w:rsid w:val="001D21D0"/>
    <w:rsid w:val="001D6F77"/>
    <w:rsid w:val="001D742D"/>
    <w:rsid w:val="001E0F02"/>
    <w:rsid w:val="001E1F7D"/>
    <w:rsid w:val="001E2ECF"/>
    <w:rsid w:val="001E71E7"/>
    <w:rsid w:val="001F1F6C"/>
    <w:rsid w:val="001F7220"/>
    <w:rsid w:val="002046F5"/>
    <w:rsid w:val="002062E3"/>
    <w:rsid w:val="00211200"/>
    <w:rsid w:val="002137C8"/>
    <w:rsid w:val="00213ECE"/>
    <w:rsid w:val="00216C3D"/>
    <w:rsid w:val="002233B9"/>
    <w:rsid w:val="00223F8B"/>
    <w:rsid w:val="002251FD"/>
    <w:rsid w:val="00231F41"/>
    <w:rsid w:val="002369B5"/>
    <w:rsid w:val="0024522F"/>
    <w:rsid w:val="00245887"/>
    <w:rsid w:val="002526BF"/>
    <w:rsid w:val="0028208D"/>
    <w:rsid w:val="00283191"/>
    <w:rsid w:val="0028390D"/>
    <w:rsid w:val="00286685"/>
    <w:rsid w:val="002933AA"/>
    <w:rsid w:val="00296F97"/>
    <w:rsid w:val="002A0F5C"/>
    <w:rsid w:val="002A141F"/>
    <w:rsid w:val="002A294A"/>
    <w:rsid w:val="002A3683"/>
    <w:rsid w:val="002A3C8F"/>
    <w:rsid w:val="002A75F9"/>
    <w:rsid w:val="002B0085"/>
    <w:rsid w:val="002B1A34"/>
    <w:rsid w:val="002B3C53"/>
    <w:rsid w:val="002B3D50"/>
    <w:rsid w:val="002B5FCA"/>
    <w:rsid w:val="002B6088"/>
    <w:rsid w:val="002B6263"/>
    <w:rsid w:val="002B6AAF"/>
    <w:rsid w:val="002D6B84"/>
    <w:rsid w:val="002D6D4D"/>
    <w:rsid w:val="002D797B"/>
    <w:rsid w:val="002E6144"/>
    <w:rsid w:val="002F5037"/>
    <w:rsid w:val="0030040E"/>
    <w:rsid w:val="003025A1"/>
    <w:rsid w:val="00305E3E"/>
    <w:rsid w:val="00312286"/>
    <w:rsid w:val="00312375"/>
    <w:rsid w:val="00312997"/>
    <w:rsid w:val="003133C7"/>
    <w:rsid w:val="0031561E"/>
    <w:rsid w:val="00317A7B"/>
    <w:rsid w:val="00322F70"/>
    <w:rsid w:val="00324E03"/>
    <w:rsid w:val="003267F4"/>
    <w:rsid w:val="0032783F"/>
    <w:rsid w:val="00330789"/>
    <w:rsid w:val="003345C1"/>
    <w:rsid w:val="00335A8B"/>
    <w:rsid w:val="0034392A"/>
    <w:rsid w:val="00344C11"/>
    <w:rsid w:val="00346595"/>
    <w:rsid w:val="00347706"/>
    <w:rsid w:val="00352620"/>
    <w:rsid w:val="0036241F"/>
    <w:rsid w:val="00363EDD"/>
    <w:rsid w:val="00364E31"/>
    <w:rsid w:val="00366DF1"/>
    <w:rsid w:val="003702AD"/>
    <w:rsid w:val="00371583"/>
    <w:rsid w:val="00377FF0"/>
    <w:rsid w:val="003838B4"/>
    <w:rsid w:val="003939EA"/>
    <w:rsid w:val="003949E4"/>
    <w:rsid w:val="0039555F"/>
    <w:rsid w:val="00395EA3"/>
    <w:rsid w:val="003A0D3D"/>
    <w:rsid w:val="003A3E3E"/>
    <w:rsid w:val="003A3EE9"/>
    <w:rsid w:val="003A4958"/>
    <w:rsid w:val="003A6EDF"/>
    <w:rsid w:val="003B1702"/>
    <w:rsid w:val="003C182F"/>
    <w:rsid w:val="003C1B79"/>
    <w:rsid w:val="003C7BD5"/>
    <w:rsid w:val="003D57C5"/>
    <w:rsid w:val="003E1607"/>
    <w:rsid w:val="003E3EEE"/>
    <w:rsid w:val="003E41D3"/>
    <w:rsid w:val="003E4570"/>
    <w:rsid w:val="003E70B0"/>
    <w:rsid w:val="003F5A5B"/>
    <w:rsid w:val="003F65FD"/>
    <w:rsid w:val="003F67FE"/>
    <w:rsid w:val="00402511"/>
    <w:rsid w:val="00403538"/>
    <w:rsid w:val="004041EE"/>
    <w:rsid w:val="00411864"/>
    <w:rsid w:val="004137C1"/>
    <w:rsid w:val="00417C22"/>
    <w:rsid w:val="00421057"/>
    <w:rsid w:val="00421393"/>
    <w:rsid w:val="00427CA6"/>
    <w:rsid w:val="00430604"/>
    <w:rsid w:val="00435673"/>
    <w:rsid w:val="00437810"/>
    <w:rsid w:val="004427DA"/>
    <w:rsid w:val="00442AEC"/>
    <w:rsid w:val="00442F00"/>
    <w:rsid w:val="0044411B"/>
    <w:rsid w:val="004444AD"/>
    <w:rsid w:val="00444B57"/>
    <w:rsid w:val="00445BE6"/>
    <w:rsid w:val="00445D69"/>
    <w:rsid w:val="00446DDC"/>
    <w:rsid w:val="00451822"/>
    <w:rsid w:val="00451DDA"/>
    <w:rsid w:val="00452332"/>
    <w:rsid w:val="0045660D"/>
    <w:rsid w:val="00456EDC"/>
    <w:rsid w:val="00462BAF"/>
    <w:rsid w:val="00462C5B"/>
    <w:rsid w:val="00471B6A"/>
    <w:rsid w:val="004840B0"/>
    <w:rsid w:val="00485D07"/>
    <w:rsid w:val="00485DFF"/>
    <w:rsid w:val="004860C4"/>
    <w:rsid w:val="0049045E"/>
    <w:rsid w:val="00494A86"/>
    <w:rsid w:val="004979E7"/>
    <w:rsid w:val="004A3B1E"/>
    <w:rsid w:val="004A6D19"/>
    <w:rsid w:val="004A701D"/>
    <w:rsid w:val="004B1A95"/>
    <w:rsid w:val="004B232C"/>
    <w:rsid w:val="004B4CA9"/>
    <w:rsid w:val="004B76B5"/>
    <w:rsid w:val="004D0594"/>
    <w:rsid w:val="004D597C"/>
    <w:rsid w:val="004D62A0"/>
    <w:rsid w:val="004E1347"/>
    <w:rsid w:val="004E296E"/>
    <w:rsid w:val="004E302C"/>
    <w:rsid w:val="004E3082"/>
    <w:rsid w:val="004E319E"/>
    <w:rsid w:val="004E65D1"/>
    <w:rsid w:val="004F3CCF"/>
    <w:rsid w:val="004F4515"/>
    <w:rsid w:val="004F5F53"/>
    <w:rsid w:val="00501C09"/>
    <w:rsid w:val="0050392B"/>
    <w:rsid w:val="00506351"/>
    <w:rsid w:val="00511FF7"/>
    <w:rsid w:val="005129FA"/>
    <w:rsid w:val="00514158"/>
    <w:rsid w:val="00516DFA"/>
    <w:rsid w:val="00520BF7"/>
    <w:rsid w:val="00527D4A"/>
    <w:rsid w:val="0053063B"/>
    <w:rsid w:val="00531AB8"/>
    <w:rsid w:val="005320C0"/>
    <w:rsid w:val="0053326C"/>
    <w:rsid w:val="005412CA"/>
    <w:rsid w:val="00542478"/>
    <w:rsid w:val="00545F5C"/>
    <w:rsid w:val="00546A45"/>
    <w:rsid w:val="00547E6A"/>
    <w:rsid w:val="00551B52"/>
    <w:rsid w:val="00551CF3"/>
    <w:rsid w:val="005527AF"/>
    <w:rsid w:val="00552DD2"/>
    <w:rsid w:val="00555187"/>
    <w:rsid w:val="00560CD1"/>
    <w:rsid w:val="00567FB2"/>
    <w:rsid w:val="005725ED"/>
    <w:rsid w:val="00580EC8"/>
    <w:rsid w:val="005826E2"/>
    <w:rsid w:val="005859FE"/>
    <w:rsid w:val="00587AC5"/>
    <w:rsid w:val="00594E34"/>
    <w:rsid w:val="005A55AC"/>
    <w:rsid w:val="005B4018"/>
    <w:rsid w:val="005B4C79"/>
    <w:rsid w:val="005B56C6"/>
    <w:rsid w:val="005C0898"/>
    <w:rsid w:val="005C098F"/>
    <w:rsid w:val="005C278B"/>
    <w:rsid w:val="005C3E03"/>
    <w:rsid w:val="005D0798"/>
    <w:rsid w:val="005D2FB7"/>
    <w:rsid w:val="005D35F7"/>
    <w:rsid w:val="005E100A"/>
    <w:rsid w:val="005E2995"/>
    <w:rsid w:val="005E3E16"/>
    <w:rsid w:val="005F0883"/>
    <w:rsid w:val="005F104F"/>
    <w:rsid w:val="005F1AEE"/>
    <w:rsid w:val="005F7675"/>
    <w:rsid w:val="00605C14"/>
    <w:rsid w:val="00606623"/>
    <w:rsid w:val="00607120"/>
    <w:rsid w:val="006100B7"/>
    <w:rsid w:val="006215D7"/>
    <w:rsid w:val="00622BAC"/>
    <w:rsid w:val="00630ABC"/>
    <w:rsid w:val="0063274E"/>
    <w:rsid w:val="006341D3"/>
    <w:rsid w:val="00634F5F"/>
    <w:rsid w:val="00637974"/>
    <w:rsid w:val="006417C5"/>
    <w:rsid w:val="006418FF"/>
    <w:rsid w:val="00642FF1"/>
    <w:rsid w:val="006512CB"/>
    <w:rsid w:val="00654323"/>
    <w:rsid w:val="00662AA3"/>
    <w:rsid w:val="00662BB4"/>
    <w:rsid w:val="00666B38"/>
    <w:rsid w:val="00666E28"/>
    <w:rsid w:val="00675348"/>
    <w:rsid w:val="0068245D"/>
    <w:rsid w:val="00682C03"/>
    <w:rsid w:val="00686122"/>
    <w:rsid w:val="006879D1"/>
    <w:rsid w:val="006904A3"/>
    <w:rsid w:val="00694010"/>
    <w:rsid w:val="0069566B"/>
    <w:rsid w:val="006976FA"/>
    <w:rsid w:val="006A6BD1"/>
    <w:rsid w:val="006B390B"/>
    <w:rsid w:val="006B5AE6"/>
    <w:rsid w:val="006C25C9"/>
    <w:rsid w:val="006C33DA"/>
    <w:rsid w:val="006C3EBA"/>
    <w:rsid w:val="006C50BF"/>
    <w:rsid w:val="006D2E4E"/>
    <w:rsid w:val="006D425C"/>
    <w:rsid w:val="006D47E3"/>
    <w:rsid w:val="006D5558"/>
    <w:rsid w:val="006D6956"/>
    <w:rsid w:val="006E4202"/>
    <w:rsid w:val="006E7F9C"/>
    <w:rsid w:val="006F2BA8"/>
    <w:rsid w:val="006F4C19"/>
    <w:rsid w:val="00711495"/>
    <w:rsid w:val="0071169A"/>
    <w:rsid w:val="00715A6C"/>
    <w:rsid w:val="007169BC"/>
    <w:rsid w:val="00717130"/>
    <w:rsid w:val="0071783B"/>
    <w:rsid w:val="00722E40"/>
    <w:rsid w:val="00725BD5"/>
    <w:rsid w:val="00727C21"/>
    <w:rsid w:val="00730A4D"/>
    <w:rsid w:val="00733F89"/>
    <w:rsid w:val="007505EF"/>
    <w:rsid w:val="0075294F"/>
    <w:rsid w:val="00755001"/>
    <w:rsid w:val="00760257"/>
    <w:rsid w:val="00760584"/>
    <w:rsid w:val="00760816"/>
    <w:rsid w:val="0076110D"/>
    <w:rsid w:val="0076155B"/>
    <w:rsid w:val="00761D13"/>
    <w:rsid w:val="00761F6D"/>
    <w:rsid w:val="00762A0E"/>
    <w:rsid w:val="00766144"/>
    <w:rsid w:val="00770D57"/>
    <w:rsid w:val="00773CA5"/>
    <w:rsid w:val="00776509"/>
    <w:rsid w:val="00777866"/>
    <w:rsid w:val="00780938"/>
    <w:rsid w:val="007815D9"/>
    <w:rsid w:val="00785FC4"/>
    <w:rsid w:val="007929F9"/>
    <w:rsid w:val="007932B5"/>
    <w:rsid w:val="00793B4C"/>
    <w:rsid w:val="00794A29"/>
    <w:rsid w:val="00797B6F"/>
    <w:rsid w:val="007A1875"/>
    <w:rsid w:val="007A1D1E"/>
    <w:rsid w:val="007B2D6C"/>
    <w:rsid w:val="007B32AE"/>
    <w:rsid w:val="007C10B0"/>
    <w:rsid w:val="007C1A53"/>
    <w:rsid w:val="007C3D02"/>
    <w:rsid w:val="007C4966"/>
    <w:rsid w:val="007C4C49"/>
    <w:rsid w:val="007D2DC9"/>
    <w:rsid w:val="007D53D2"/>
    <w:rsid w:val="007E0661"/>
    <w:rsid w:val="007E4FEE"/>
    <w:rsid w:val="007F0B36"/>
    <w:rsid w:val="007F3B6B"/>
    <w:rsid w:val="008031F7"/>
    <w:rsid w:val="00803F2C"/>
    <w:rsid w:val="00810973"/>
    <w:rsid w:val="008153AF"/>
    <w:rsid w:val="00817F6E"/>
    <w:rsid w:val="008239EB"/>
    <w:rsid w:val="0082454C"/>
    <w:rsid w:val="0082577A"/>
    <w:rsid w:val="00825EAF"/>
    <w:rsid w:val="008269C6"/>
    <w:rsid w:val="00830712"/>
    <w:rsid w:val="00831665"/>
    <w:rsid w:val="008363AF"/>
    <w:rsid w:val="008408C3"/>
    <w:rsid w:val="00840A21"/>
    <w:rsid w:val="00841746"/>
    <w:rsid w:val="00857301"/>
    <w:rsid w:val="008619DA"/>
    <w:rsid w:val="0087047D"/>
    <w:rsid w:val="00874F13"/>
    <w:rsid w:val="008754DB"/>
    <w:rsid w:val="00882F35"/>
    <w:rsid w:val="0088365A"/>
    <w:rsid w:val="00890FED"/>
    <w:rsid w:val="008A4D3F"/>
    <w:rsid w:val="008A59BA"/>
    <w:rsid w:val="008B2F5A"/>
    <w:rsid w:val="008B4D78"/>
    <w:rsid w:val="008B5D77"/>
    <w:rsid w:val="008B7A86"/>
    <w:rsid w:val="008C20D7"/>
    <w:rsid w:val="008C3F64"/>
    <w:rsid w:val="008C78CF"/>
    <w:rsid w:val="008E0831"/>
    <w:rsid w:val="008E11F9"/>
    <w:rsid w:val="008F3C30"/>
    <w:rsid w:val="008F7E30"/>
    <w:rsid w:val="00904B5E"/>
    <w:rsid w:val="0090797F"/>
    <w:rsid w:val="00912751"/>
    <w:rsid w:val="00925CE6"/>
    <w:rsid w:val="00931B52"/>
    <w:rsid w:val="00931E52"/>
    <w:rsid w:val="009329E1"/>
    <w:rsid w:val="009333F8"/>
    <w:rsid w:val="00945E2A"/>
    <w:rsid w:val="009479F4"/>
    <w:rsid w:val="009503A8"/>
    <w:rsid w:val="00952B38"/>
    <w:rsid w:val="00956031"/>
    <w:rsid w:val="00961B3E"/>
    <w:rsid w:val="00971463"/>
    <w:rsid w:val="00977233"/>
    <w:rsid w:val="0097784E"/>
    <w:rsid w:val="0098552B"/>
    <w:rsid w:val="00992901"/>
    <w:rsid w:val="009958E5"/>
    <w:rsid w:val="009A07EC"/>
    <w:rsid w:val="009A1F9B"/>
    <w:rsid w:val="009A3F8F"/>
    <w:rsid w:val="009A77FF"/>
    <w:rsid w:val="009B024E"/>
    <w:rsid w:val="009B0ACF"/>
    <w:rsid w:val="009B4A6A"/>
    <w:rsid w:val="009B5764"/>
    <w:rsid w:val="009B6AC2"/>
    <w:rsid w:val="009C4696"/>
    <w:rsid w:val="009C6AD3"/>
    <w:rsid w:val="009D0A8C"/>
    <w:rsid w:val="009D3906"/>
    <w:rsid w:val="009D5E84"/>
    <w:rsid w:val="009D78A4"/>
    <w:rsid w:val="009E215B"/>
    <w:rsid w:val="009E61E3"/>
    <w:rsid w:val="009F2CCD"/>
    <w:rsid w:val="00A01CCA"/>
    <w:rsid w:val="00A02C25"/>
    <w:rsid w:val="00A16683"/>
    <w:rsid w:val="00A2405B"/>
    <w:rsid w:val="00A25C69"/>
    <w:rsid w:val="00A33B73"/>
    <w:rsid w:val="00A35ED9"/>
    <w:rsid w:val="00A43A56"/>
    <w:rsid w:val="00A43C5B"/>
    <w:rsid w:val="00A51AB3"/>
    <w:rsid w:val="00A53EA6"/>
    <w:rsid w:val="00A54E7A"/>
    <w:rsid w:val="00A55D97"/>
    <w:rsid w:val="00A645CB"/>
    <w:rsid w:val="00A707A1"/>
    <w:rsid w:val="00A708D9"/>
    <w:rsid w:val="00A75540"/>
    <w:rsid w:val="00A767BB"/>
    <w:rsid w:val="00A826BC"/>
    <w:rsid w:val="00A83F9E"/>
    <w:rsid w:val="00A84480"/>
    <w:rsid w:val="00A92DB6"/>
    <w:rsid w:val="00A9636E"/>
    <w:rsid w:val="00A9682D"/>
    <w:rsid w:val="00A97A41"/>
    <w:rsid w:val="00AA000E"/>
    <w:rsid w:val="00AA0C76"/>
    <w:rsid w:val="00AA28E9"/>
    <w:rsid w:val="00AA3F36"/>
    <w:rsid w:val="00AA5454"/>
    <w:rsid w:val="00AA5A91"/>
    <w:rsid w:val="00AA65DD"/>
    <w:rsid w:val="00AA6E2C"/>
    <w:rsid w:val="00AA7313"/>
    <w:rsid w:val="00AB28B3"/>
    <w:rsid w:val="00AB30FB"/>
    <w:rsid w:val="00AB3CC0"/>
    <w:rsid w:val="00AB54C5"/>
    <w:rsid w:val="00AC4E71"/>
    <w:rsid w:val="00AE0AC5"/>
    <w:rsid w:val="00AE0CC5"/>
    <w:rsid w:val="00AE7BCD"/>
    <w:rsid w:val="00AF1152"/>
    <w:rsid w:val="00AF1A9E"/>
    <w:rsid w:val="00AF3CDF"/>
    <w:rsid w:val="00AF63F0"/>
    <w:rsid w:val="00AF700C"/>
    <w:rsid w:val="00B036CE"/>
    <w:rsid w:val="00B04B1C"/>
    <w:rsid w:val="00B066C1"/>
    <w:rsid w:val="00B101BC"/>
    <w:rsid w:val="00B102CE"/>
    <w:rsid w:val="00B15717"/>
    <w:rsid w:val="00B17FC4"/>
    <w:rsid w:val="00B20EC6"/>
    <w:rsid w:val="00B218E2"/>
    <w:rsid w:val="00B21E33"/>
    <w:rsid w:val="00B249B6"/>
    <w:rsid w:val="00B27671"/>
    <w:rsid w:val="00B34CF0"/>
    <w:rsid w:val="00B408A3"/>
    <w:rsid w:val="00B41E8B"/>
    <w:rsid w:val="00B449D4"/>
    <w:rsid w:val="00B45B4E"/>
    <w:rsid w:val="00B47B1B"/>
    <w:rsid w:val="00B50480"/>
    <w:rsid w:val="00B52677"/>
    <w:rsid w:val="00B5270A"/>
    <w:rsid w:val="00B52DD5"/>
    <w:rsid w:val="00B55BCB"/>
    <w:rsid w:val="00B5676C"/>
    <w:rsid w:val="00B62280"/>
    <w:rsid w:val="00B679DB"/>
    <w:rsid w:val="00B76D28"/>
    <w:rsid w:val="00B814A5"/>
    <w:rsid w:val="00B82F81"/>
    <w:rsid w:val="00B86856"/>
    <w:rsid w:val="00B90E20"/>
    <w:rsid w:val="00B94B8E"/>
    <w:rsid w:val="00BA4710"/>
    <w:rsid w:val="00BA5034"/>
    <w:rsid w:val="00BA593B"/>
    <w:rsid w:val="00BB38DF"/>
    <w:rsid w:val="00BB48B1"/>
    <w:rsid w:val="00BB48E8"/>
    <w:rsid w:val="00BB589B"/>
    <w:rsid w:val="00BC0D90"/>
    <w:rsid w:val="00BC7E7F"/>
    <w:rsid w:val="00BE2416"/>
    <w:rsid w:val="00BE2E09"/>
    <w:rsid w:val="00BE464A"/>
    <w:rsid w:val="00BE4E00"/>
    <w:rsid w:val="00BE641C"/>
    <w:rsid w:val="00BE7FF8"/>
    <w:rsid w:val="00BF0128"/>
    <w:rsid w:val="00BF0AEF"/>
    <w:rsid w:val="00BF51C4"/>
    <w:rsid w:val="00C0103E"/>
    <w:rsid w:val="00C020F0"/>
    <w:rsid w:val="00C05870"/>
    <w:rsid w:val="00C0633D"/>
    <w:rsid w:val="00C07475"/>
    <w:rsid w:val="00C1120D"/>
    <w:rsid w:val="00C1238B"/>
    <w:rsid w:val="00C13673"/>
    <w:rsid w:val="00C334CF"/>
    <w:rsid w:val="00C3614E"/>
    <w:rsid w:val="00C42ABC"/>
    <w:rsid w:val="00C453F4"/>
    <w:rsid w:val="00C5350B"/>
    <w:rsid w:val="00C5388D"/>
    <w:rsid w:val="00C545ED"/>
    <w:rsid w:val="00C65FB6"/>
    <w:rsid w:val="00C66234"/>
    <w:rsid w:val="00C720CE"/>
    <w:rsid w:val="00C76008"/>
    <w:rsid w:val="00C81B3D"/>
    <w:rsid w:val="00C830CE"/>
    <w:rsid w:val="00C853F7"/>
    <w:rsid w:val="00C8646F"/>
    <w:rsid w:val="00C900B9"/>
    <w:rsid w:val="00C94727"/>
    <w:rsid w:val="00C95F25"/>
    <w:rsid w:val="00C96FBB"/>
    <w:rsid w:val="00C977D4"/>
    <w:rsid w:val="00C97CDC"/>
    <w:rsid w:val="00CA0F91"/>
    <w:rsid w:val="00CA17AB"/>
    <w:rsid w:val="00CB021D"/>
    <w:rsid w:val="00CB325D"/>
    <w:rsid w:val="00CB41D8"/>
    <w:rsid w:val="00CB4D4A"/>
    <w:rsid w:val="00CB586E"/>
    <w:rsid w:val="00CB77AC"/>
    <w:rsid w:val="00CB7DD7"/>
    <w:rsid w:val="00CD51AB"/>
    <w:rsid w:val="00CE3313"/>
    <w:rsid w:val="00CF2045"/>
    <w:rsid w:val="00CF78CE"/>
    <w:rsid w:val="00D04E5C"/>
    <w:rsid w:val="00D075E0"/>
    <w:rsid w:val="00D07FCB"/>
    <w:rsid w:val="00D10201"/>
    <w:rsid w:val="00D11172"/>
    <w:rsid w:val="00D1441D"/>
    <w:rsid w:val="00D2130C"/>
    <w:rsid w:val="00D2174D"/>
    <w:rsid w:val="00D23FFF"/>
    <w:rsid w:val="00D24543"/>
    <w:rsid w:val="00D30C98"/>
    <w:rsid w:val="00D3128E"/>
    <w:rsid w:val="00D420BF"/>
    <w:rsid w:val="00D433F1"/>
    <w:rsid w:val="00D453BF"/>
    <w:rsid w:val="00D575FB"/>
    <w:rsid w:val="00D6768D"/>
    <w:rsid w:val="00D6783E"/>
    <w:rsid w:val="00D71354"/>
    <w:rsid w:val="00D71E5C"/>
    <w:rsid w:val="00D72F46"/>
    <w:rsid w:val="00D73D83"/>
    <w:rsid w:val="00D74482"/>
    <w:rsid w:val="00D80873"/>
    <w:rsid w:val="00D847E2"/>
    <w:rsid w:val="00D85B86"/>
    <w:rsid w:val="00D870FE"/>
    <w:rsid w:val="00D9034E"/>
    <w:rsid w:val="00D90B22"/>
    <w:rsid w:val="00D957CA"/>
    <w:rsid w:val="00D95A2B"/>
    <w:rsid w:val="00D97B46"/>
    <w:rsid w:val="00DA1537"/>
    <w:rsid w:val="00DA2394"/>
    <w:rsid w:val="00DA292C"/>
    <w:rsid w:val="00DB193C"/>
    <w:rsid w:val="00DB4D7E"/>
    <w:rsid w:val="00DB586D"/>
    <w:rsid w:val="00DB78A5"/>
    <w:rsid w:val="00DC1451"/>
    <w:rsid w:val="00DC2481"/>
    <w:rsid w:val="00DC616F"/>
    <w:rsid w:val="00DD0DD5"/>
    <w:rsid w:val="00DD0ED1"/>
    <w:rsid w:val="00DD5309"/>
    <w:rsid w:val="00DD5733"/>
    <w:rsid w:val="00DE0058"/>
    <w:rsid w:val="00DE3306"/>
    <w:rsid w:val="00DF57DF"/>
    <w:rsid w:val="00E005C6"/>
    <w:rsid w:val="00E01930"/>
    <w:rsid w:val="00E01E9E"/>
    <w:rsid w:val="00E05B2E"/>
    <w:rsid w:val="00E10DA8"/>
    <w:rsid w:val="00E17CAE"/>
    <w:rsid w:val="00E22054"/>
    <w:rsid w:val="00E22267"/>
    <w:rsid w:val="00E26A25"/>
    <w:rsid w:val="00E2779C"/>
    <w:rsid w:val="00E30BDC"/>
    <w:rsid w:val="00E320A4"/>
    <w:rsid w:val="00E34D5D"/>
    <w:rsid w:val="00E35560"/>
    <w:rsid w:val="00E511F2"/>
    <w:rsid w:val="00E54F3B"/>
    <w:rsid w:val="00E56441"/>
    <w:rsid w:val="00E565C5"/>
    <w:rsid w:val="00E56AF0"/>
    <w:rsid w:val="00E63863"/>
    <w:rsid w:val="00E653D1"/>
    <w:rsid w:val="00E66FA5"/>
    <w:rsid w:val="00E70B57"/>
    <w:rsid w:val="00E731D6"/>
    <w:rsid w:val="00E76ABC"/>
    <w:rsid w:val="00E8609A"/>
    <w:rsid w:val="00E86AA8"/>
    <w:rsid w:val="00E90FC6"/>
    <w:rsid w:val="00E92C5B"/>
    <w:rsid w:val="00E942BE"/>
    <w:rsid w:val="00E95362"/>
    <w:rsid w:val="00E95731"/>
    <w:rsid w:val="00E95BE1"/>
    <w:rsid w:val="00E95E76"/>
    <w:rsid w:val="00EA0089"/>
    <w:rsid w:val="00EA0BD2"/>
    <w:rsid w:val="00EA2259"/>
    <w:rsid w:val="00EA2581"/>
    <w:rsid w:val="00EA57E2"/>
    <w:rsid w:val="00EA6308"/>
    <w:rsid w:val="00EA7694"/>
    <w:rsid w:val="00EB050F"/>
    <w:rsid w:val="00EB0B51"/>
    <w:rsid w:val="00EB122D"/>
    <w:rsid w:val="00EB2242"/>
    <w:rsid w:val="00EB3914"/>
    <w:rsid w:val="00ED4508"/>
    <w:rsid w:val="00ED7D92"/>
    <w:rsid w:val="00EE06C1"/>
    <w:rsid w:val="00EE0F90"/>
    <w:rsid w:val="00EE5F72"/>
    <w:rsid w:val="00EF08EE"/>
    <w:rsid w:val="00EF3A3A"/>
    <w:rsid w:val="00EF78CA"/>
    <w:rsid w:val="00EF7C6F"/>
    <w:rsid w:val="00F021D9"/>
    <w:rsid w:val="00F05CDB"/>
    <w:rsid w:val="00F06098"/>
    <w:rsid w:val="00F06323"/>
    <w:rsid w:val="00F1011E"/>
    <w:rsid w:val="00F1275F"/>
    <w:rsid w:val="00F13591"/>
    <w:rsid w:val="00F17B2C"/>
    <w:rsid w:val="00F212BC"/>
    <w:rsid w:val="00F2346C"/>
    <w:rsid w:val="00F23865"/>
    <w:rsid w:val="00F24346"/>
    <w:rsid w:val="00F247C5"/>
    <w:rsid w:val="00F25795"/>
    <w:rsid w:val="00F26586"/>
    <w:rsid w:val="00F265C6"/>
    <w:rsid w:val="00F26D41"/>
    <w:rsid w:val="00F31044"/>
    <w:rsid w:val="00F3217A"/>
    <w:rsid w:val="00F33992"/>
    <w:rsid w:val="00F355FA"/>
    <w:rsid w:val="00F410A3"/>
    <w:rsid w:val="00F43B4B"/>
    <w:rsid w:val="00F43CAC"/>
    <w:rsid w:val="00F52362"/>
    <w:rsid w:val="00F645F2"/>
    <w:rsid w:val="00F65603"/>
    <w:rsid w:val="00F716EF"/>
    <w:rsid w:val="00F7193D"/>
    <w:rsid w:val="00F727F0"/>
    <w:rsid w:val="00F72F9A"/>
    <w:rsid w:val="00F77687"/>
    <w:rsid w:val="00F81C78"/>
    <w:rsid w:val="00F874B9"/>
    <w:rsid w:val="00F94270"/>
    <w:rsid w:val="00F947E0"/>
    <w:rsid w:val="00FA28BD"/>
    <w:rsid w:val="00FA39DA"/>
    <w:rsid w:val="00FB5461"/>
    <w:rsid w:val="00FB6F14"/>
    <w:rsid w:val="00FC13D1"/>
    <w:rsid w:val="00FC1776"/>
    <w:rsid w:val="00FC1AF1"/>
    <w:rsid w:val="00FC3B2F"/>
    <w:rsid w:val="00FC4D18"/>
    <w:rsid w:val="00FD10A8"/>
    <w:rsid w:val="00FE1B62"/>
    <w:rsid w:val="00FE3954"/>
    <w:rsid w:val="00FE5BD9"/>
    <w:rsid w:val="00FE7DDD"/>
    <w:rsid w:val="00FF526D"/>
    <w:rsid w:val="00FF63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EF13"/>
  <w15:docId w15:val="{7C84A5ED-96C8-454A-A3C9-BF5D2181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63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D57"/>
    <w:pPr>
      <w:ind w:left="720"/>
      <w:contextualSpacing/>
    </w:pPr>
  </w:style>
  <w:style w:type="paragraph" w:styleId="Date">
    <w:name w:val="Date"/>
    <w:basedOn w:val="Normal"/>
    <w:next w:val="Normal"/>
    <w:link w:val="DateChar"/>
    <w:uiPriority w:val="99"/>
    <w:semiHidden/>
    <w:unhideWhenUsed/>
    <w:rsid w:val="00545F5C"/>
  </w:style>
  <w:style w:type="character" w:customStyle="1" w:styleId="DateChar">
    <w:name w:val="Date Char"/>
    <w:basedOn w:val="DefaultParagraphFont"/>
    <w:link w:val="Date"/>
    <w:uiPriority w:val="99"/>
    <w:semiHidden/>
    <w:rsid w:val="00545F5C"/>
  </w:style>
  <w:style w:type="paragraph" w:styleId="Header">
    <w:name w:val="header"/>
    <w:basedOn w:val="Normal"/>
    <w:link w:val="HeaderChar"/>
    <w:uiPriority w:val="99"/>
    <w:unhideWhenUsed/>
    <w:rsid w:val="00063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3F4"/>
  </w:style>
  <w:style w:type="paragraph" w:styleId="Footer">
    <w:name w:val="footer"/>
    <w:basedOn w:val="Normal"/>
    <w:link w:val="FooterChar"/>
    <w:uiPriority w:val="99"/>
    <w:unhideWhenUsed/>
    <w:rsid w:val="00063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3F4"/>
  </w:style>
  <w:style w:type="character" w:styleId="CommentReference">
    <w:name w:val="annotation reference"/>
    <w:basedOn w:val="DefaultParagraphFont"/>
    <w:uiPriority w:val="99"/>
    <w:semiHidden/>
    <w:unhideWhenUsed/>
    <w:rsid w:val="003A3EE9"/>
    <w:rPr>
      <w:sz w:val="16"/>
      <w:szCs w:val="16"/>
    </w:rPr>
  </w:style>
  <w:style w:type="paragraph" w:styleId="CommentText">
    <w:name w:val="annotation text"/>
    <w:basedOn w:val="Normal"/>
    <w:link w:val="CommentTextChar"/>
    <w:uiPriority w:val="99"/>
    <w:unhideWhenUsed/>
    <w:rsid w:val="003A3EE9"/>
    <w:pPr>
      <w:spacing w:line="240" w:lineRule="auto"/>
    </w:pPr>
    <w:rPr>
      <w:sz w:val="20"/>
      <w:szCs w:val="20"/>
    </w:rPr>
  </w:style>
  <w:style w:type="character" w:customStyle="1" w:styleId="CommentTextChar">
    <w:name w:val="Comment Text Char"/>
    <w:basedOn w:val="DefaultParagraphFont"/>
    <w:link w:val="CommentText"/>
    <w:uiPriority w:val="99"/>
    <w:rsid w:val="003A3EE9"/>
    <w:rPr>
      <w:sz w:val="20"/>
      <w:szCs w:val="20"/>
    </w:rPr>
  </w:style>
  <w:style w:type="paragraph" w:styleId="CommentSubject">
    <w:name w:val="annotation subject"/>
    <w:basedOn w:val="CommentText"/>
    <w:next w:val="CommentText"/>
    <w:link w:val="CommentSubjectChar"/>
    <w:uiPriority w:val="99"/>
    <w:semiHidden/>
    <w:unhideWhenUsed/>
    <w:rsid w:val="003A3EE9"/>
    <w:rPr>
      <w:b/>
      <w:bCs/>
    </w:rPr>
  </w:style>
  <w:style w:type="character" w:customStyle="1" w:styleId="CommentSubjectChar">
    <w:name w:val="Comment Subject Char"/>
    <w:basedOn w:val="CommentTextChar"/>
    <w:link w:val="CommentSubject"/>
    <w:uiPriority w:val="99"/>
    <w:semiHidden/>
    <w:rsid w:val="003A3EE9"/>
    <w:rPr>
      <w:b/>
      <w:bCs/>
      <w:sz w:val="20"/>
      <w:szCs w:val="20"/>
    </w:rPr>
  </w:style>
  <w:style w:type="paragraph" w:styleId="BalloonText">
    <w:name w:val="Balloon Text"/>
    <w:basedOn w:val="Normal"/>
    <w:link w:val="BalloonTextChar"/>
    <w:uiPriority w:val="99"/>
    <w:semiHidden/>
    <w:unhideWhenUsed/>
    <w:rsid w:val="003A3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E9"/>
    <w:rPr>
      <w:rFonts w:ascii="Tahoma" w:hAnsi="Tahoma" w:cs="Tahoma"/>
      <w:sz w:val="16"/>
      <w:szCs w:val="16"/>
    </w:rPr>
  </w:style>
  <w:style w:type="character" w:styleId="Hyperlink">
    <w:name w:val="Hyperlink"/>
    <w:basedOn w:val="DefaultParagraphFont"/>
    <w:uiPriority w:val="99"/>
    <w:unhideWhenUsed/>
    <w:rsid w:val="001E71E7"/>
    <w:rPr>
      <w:color w:val="0000FF"/>
      <w:u w:val="single"/>
    </w:rPr>
  </w:style>
  <w:style w:type="paragraph" w:styleId="Revision">
    <w:name w:val="Revision"/>
    <w:hidden/>
    <w:uiPriority w:val="99"/>
    <w:semiHidden/>
    <w:rsid w:val="00C97CDC"/>
    <w:pPr>
      <w:spacing w:after="0" w:line="240" w:lineRule="auto"/>
    </w:pPr>
  </w:style>
  <w:style w:type="paragraph" w:styleId="FootnoteText">
    <w:name w:val="footnote text"/>
    <w:basedOn w:val="Normal"/>
    <w:link w:val="FootnoteTextChar"/>
    <w:uiPriority w:val="99"/>
    <w:semiHidden/>
    <w:unhideWhenUsed/>
    <w:rsid w:val="00E638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863"/>
    <w:rPr>
      <w:sz w:val="20"/>
      <w:szCs w:val="20"/>
    </w:rPr>
  </w:style>
  <w:style w:type="character" w:styleId="FootnoteReference">
    <w:name w:val="footnote reference"/>
    <w:basedOn w:val="DefaultParagraphFont"/>
    <w:uiPriority w:val="99"/>
    <w:semiHidden/>
    <w:unhideWhenUsed/>
    <w:rsid w:val="00E63863"/>
    <w:rPr>
      <w:vertAlign w:val="superscript"/>
    </w:rPr>
  </w:style>
  <w:style w:type="character" w:styleId="FollowedHyperlink">
    <w:name w:val="FollowedHyperlink"/>
    <w:basedOn w:val="DefaultParagraphFont"/>
    <w:uiPriority w:val="99"/>
    <w:semiHidden/>
    <w:unhideWhenUsed/>
    <w:rsid w:val="00E86AA8"/>
    <w:rPr>
      <w:color w:val="800080" w:themeColor="followedHyperlink"/>
      <w:u w:val="single"/>
    </w:rPr>
  </w:style>
  <w:style w:type="table" w:styleId="TableGrid">
    <w:name w:val="Table Grid"/>
    <w:basedOn w:val="TableNormal"/>
    <w:uiPriority w:val="59"/>
    <w:rsid w:val="000415FF"/>
    <w:pPr>
      <w:spacing w:after="0" w:line="240" w:lineRule="auto"/>
    </w:pPr>
    <w:rPr>
      <w:rFonts w:ascii="Segoe UI" w:hAnsi="Segoe UI"/>
      <w:kern w:val="2"/>
      <w:sz w:val="21"/>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633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97076">
      <w:bodyDiv w:val="1"/>
      <w:marLeft w:val="0"/>
      <w:marRight w:val="0"/>
      <w:marTop w:val="0"/>
      <w:marBottom w:val="0"/>
      <w:divBdr>
        <w:top w:val="none" w:sz="0" w:space="0" w:color="auto"/>
        <w:left w:val="none" w:sz="0" w:space="0" w:color="auto"/>
        <w:bottom w:val="none" w:sz="0" w:space="0" w:color="auto"/>
        <w:right w:val="none" w:sz="0" w:space="0" w:color="auto"/>
      </w:divBdr>
    </w:div>
    <w:div w:id="376516773">
      <w:bodyDiv w:val="1"/>
      <w:marLeft w:val="0"/>
      <w:marRight w:val="0"/>
      <w:marTop w:val="0"/>
      <w:marBottom w:val="0"/>
      <w:divBdr>
        <w:top w:val="none" w:sz="0" w:space="0" w:color="auto"/>
        <w:left w:val="none" w:sz="0" w:space="0" w:color="auto"/>
        <w:bottom w:val="none" w:sz="0" w:space="0" w:color="auto"/>
        <w:right w:val="none" w:sz="0" w:space="0" w:color="auto"/>
      </w:divBdr>
    </w:div>
    <w:div w:id="378557993">
      <w:bodyDiv w:val="1"/>
      <w:marLeft w:val="0"/>
      <w:marRight w:val="0"/>
      <w:marTop w:val="0"/>
      <w:marBottom w:val="0"/>
      <w:divBdr>
        <w:top w:val="none" w:sz="0" w:space="0" w:color="auto"/>
        <w:left w:val="none" w:sz="0" w:space="0" w:color="auto"/>
        <w:bottom w:val="none" w:sz="0" w:space="0" w:color="auto"/>
        <w:right w:val="none" w:sz="0" w:space="0" w:color="auto"/>
      </w:divBdr>
    </w:div>
    <w:div w:id="389572764">
      <w:bodyDiv w:val="1"/>
      <w:marLeft w:val="0"/>
      <w:marRight w:val="0"/>
      <w:marTop w:val="0"/>
      <w:marBottom w:val="0"/>
      <w:divBdr>
        <w:top w:val="none" w:sz="0" w:space="0" w:color="auto"/>
        <w:left w:val="none" w:sz="0" w:space="0" w:color="auto"/>
        <w:bottom w:val="none" w:sz="0" w:space="0" w:color="auto"/>
        <w:right w:val="none" w:sz="0" w:space="0" w:color="auto"/>
      </w:divBdr>
    </w:div>
    <w:div w:id="392042064">
      <w:bodyDiv w:val="1"/>
      <w:marLeft w:val="0"/>
      <w:marRight w:val="0"/>
      <w:marTop w:val="0"/>
      <w:marBottom w:val="0"/>
      <w:divBdr>
        <w:top w:val="none" w:sz="0" w:space="0" w:color="auto"/>
        <w:left w:val="none" w:sz="0" w:space="0" w:color="auto"/>
        <w:bottom w:val="none" w:sz="0" w:space="0" w:color="auto"/>
        <w:right w:val="none" w:sz="0" w:space="0" w:color="auto"/>
      </w:divBdr>
    </w:div>
    <w:div w:id="400638756">
      <w:bodyDiv w:val="1"/>
      <w:marLeft w:val="0"/>
      <w:marRight w:val="0"/>
      <w:marTop w:val="0"/>
      <w:marBottom w:val="0"/>
      <w:divBdr>
        <w:top w:val="none" w:sz="0" w:space="0" w:color="auto"/>
        <w:left w:val="none" w:sz="0" w:space="0" w:color="auto"/>
        <w:bottom w:val="none" w:sz="0" w:space="0" w:color="auto"/>
        <w:right w:val="none" w:sz="0" w:space="0" w:color="auto"/>
      </w:divBdr>
    </w:div>
    <w:div w:id="405802498">
      <w:bodyDiv w:val="1"/>
      <w:marLeft w:val="0"/>
      <w:marRight w:val="0"/>
      <w:marTop w:val="0"/>
      <w:marBottom w:val="0"/>
      <w:divBdr>
        <w:top w:val="none" w:sz="0" w:space="0" w:color="auto"/>
        <w:left w:val="none" w:sz="0" w:space="0" w:color="auto"/>
        <w:bottom w:val="none" w:sz="0" w:space="0" w:color="auto"/>
        <w:right w:val="none" w:sz="0" w:space="0" w:color="auto"/>
      </w:divBdr>
    </w:div>
    <w:div w:id="426195524">
      <w:bodyDiv w:val="1"/>
      <w:marLeft w:val="0"/>
      <w:marRight w:val="0"/>
      <w:marTop w:val="0"/>
      <w:marBottom w:val="0"/>
      <w:divBdr>
        <w:top w:val="none" w:sz="0" w:space="0" w:color="auto"/>
        <w:left w:val="none" w:sz="0" w:space="0" w:color="auto"/>
        <w:bottom w:val="none" w:sz="0" w:space="0" w:color="auto"/>
        <w:right w:val="none" w:sz="0" w:space="0" w:color="auto"/>
      </w:divBdr>
    </w:div>
    <w:div w:id="502167099">
      <w:bodyDiv w:val="1"/>
      <w:marLeft w:val="0"/>
      <w:marRight w:val="0"/>
      <w:marTop w:val="0"/>
      <w:marBottom w:val="0"/>
      <w:divBdr>
        <w:top w:val="none" w:sz="0" w:space="0" w:color="auto"/>
        <w:left w:val="none" w:sz="0" w:space="0" w:color="auto"/>
        <w:bottom w:val="none" w:sz="0" w:space="0" w:color="auto"/>
        <w:right w:val="none" w:sz="0" w:space="0" w:color="auto"/>
      </w:divBdr>
    </w:div>
    <w:div w:id="677925886">
      <w:bodyDiv w:val="1"/>
      <w:marLeft w:val="0"/>
      <w:marRight w:val="0"/>
      <w:marTop w:val="0"/>
      <w:marBottom w:val="0"/>
      <w:divBdr>
        <w:top w:val="none" w:sz="0" w:space="0" w:color="auto"/>
        <w:left w:val="none" w:sz="0" w:space="0" w:color="auto"/>
        <w:bottom w:val="none" w:sz="0" w:space="0" w:color="auto"/>
        <w:right w:val="none" w:sz="0" w:space="0" w:color="auto"/>
      </w:divBdr>
    </w:div>
    <w:div w:id="726414704">
      <w:bodyDiv w:val="1"/>
      <w:marLeft w:val="0"/>
      <w:marRight w:val="0"/>
      <w:marTop w:val="0"/>
      <w:marBottom w:val="0"/>
      <w:divBdr>
        <w:top w:val="none" w:sz="0" w:space="0" w:color="auto"/>
        <w:left w:val="none" w:sz="0" w:space="0" w:color="auto"/>
        <w:bottom w:val="none" w:sz="0" w:space="0" w:color="auto"/>
        <w:right w:val="none" w:sz="0" w:space="0" w:color="auto"/>
      </w:divBdr>
    </w:div>
    <w:div w:id="729769994">
      <w:bodyDiv w:val="1"/>
      <w:marLeft w:val="0"/>
      <w:marRight w:val="0"/>
      <w:marTop w:val="0"/>
      <w:marBottom w:val="0"/>
      <w:divBdr>
        <w:top w:val="none" w:sz="0" w:space="0" w:color="auto"/>
        <w:left w:val="none" w:sz="0" w:space="0" w:color="auto"/>
        <w:bottom w:val="none" w:sz="0" w:space="0" w:color="auto"/>
        <w:right w:val="none" w:sz="0" w:space="0" w:color="auto"/>
      </w:divBdr>
    </w:div>
    <w:div w:id="779303162">
      <w:bodyDiv w:val="1"/>
      <w:marLeft w:val="0"/>
      <w:marRight w:val="0"/>
      <w:marTop w:val="0"/>
      <w:marBottom w:val="0"/>
      <w:divBdr>
        <w:top w:val="none" w:sz="0" w:space="0" w:color="auto"/>
        <w:left w:val="none" w:sz="0" w:space="0" w:color="auto"/>
        <w:bottom w:val="none" w:sz="0" w:space="0" w:color="auto"/>
        <w:right w:val="none" w:sz="0" w:space="0" w:color="auto"/>
      </w:divBdr>
    </w:div>
    <w:div w:id="863247948">
      <w:bodyDiv w:val="1"/>
      <w:marLeft w:val="0"/>
      <w:marRight w:val="0"/>
      <w:marTop w:val="0"/>
      <w:marBottom w:val="0"/>
      <w:divBdr>
        <w:top w:val="none" w:sz="0" w:space="0" w:color="auto"/>
        <w:left w:val="none" w:sz="0" w:space="0" w:color="auto"/>
        <w:bottom w:val="none" w:sz="0" w:space="0" w:color="auto"/>
        <w:right w:val="none" w:sz="0" w:space="0" w:color="auto"/>
      </w:divBdr>
    </w:div>
    <w:div w:id="929970482">
      <w:bodyDiv w:val="1"/>
      <w:marLeft w:val="0"/>
      <w:marRight w:val="0"/>
      <w:marTop w:val="0"/>
      <w:marBottom w:val="0"/>
      <w:divBdr>
        <w:top w:val="none" w:sz="0" w:space="0" w:color="auto"/>
        <w:left w:val="none" w:sz="0" w:space="0" w:color="auto"/>
        <w:bottom w:val="none" w:sz="0" w:space="0" w:color="auto"/>
        <w:right w:val="none" w:sz="0" w:space="0" w:color="auto"/>
      </w:divBdr>
    </w:div>
    <w:div w:id="934483373">
      <w:bodyDiv w:val="1"/>
      <w:marLeft w:val="0"/>
      <w:marRight w:val="0"/>
      <w:marTop w:val="0"/>
      <w:marBottom w:val="0"/>
      <w:divBdr>
        <w:top w:val="none" w:sz="0" w:space="0" w:color="auto"/>
        <w:left w:val="none" w:sz="0" w:space="0" w:color="auto"/>
        <w:bottom w:val="none" w:sz="0" w:space="0" w:color="auto"/>
        <w:right w:val="none" w:sz="0" w:space="0" w:color="auto"/>
      </w:divBdr>
    </w:div>
    <w:div w:id="955016378">
      <w:bodyDiv w:val="1"/>
      <w:marLeft w:val="0"/>
      <w:marRight w:val="0"/>
      <w:marTop w:val="0"/>
      <w:marBottom w:val="0"/>
      <w:divBdr>
        <w:top w:val="none" w:sz="0" w:space="0" w:color="auto"/>
        <w:left w:val="none" w:sz="0" w:space="0" w:color="auto"/>
        <w:bottom w:val="none" w:sz="0" w:space="0" w:color="auto"/>
        <w:right w:val="none" w:sz="0" w:space="0" w:color="auto"/>
      </w:divBdr>
    </w:div>
    <w:div w:id="1075249872">
      <w:bodyDiv w:val="1"/>
      <w:marLeft w:val="0"/>
      <w:marRight w:val="0"/>
      <w:marTop w:val="0"/>
      <w:marBottom w:val="0"/>
      <w:divBdr>
        <w:top w:val="none" w:sz="0" w:space="0" w:color="auto"/>
        <w:left w:val="none" w:sz="0" w:space="0" w:color="auto"/>
        <w:bottom w:val="none" w:sz="0" w:space="0" w:color="auto"/>
        <w:right w:val="none" w:sz="0" w:space="0" w:color="auto"/>
      </w:divBdr>
    </w:div>
    <w:div w:id="1078985434">
      <w:bodyDiv w:val="1"/>
      <w:marLeft w:val="0"/>
      <w:marRight w:val="0"/>
      <w:marTop w:val="0"/>
      <w:marBottom w:val="0"/>
      <w:divBdr>
        <w:top w:val="none" w:sz="0" w:space="0" w:color="auto"/>
        <w:left w:val="none" w:sz="0" w:space="0" w:color="auto"/>
        <w:bottom w:val="none" w:sz="0" w:space="0" w:color="auto"/>
        <w:right w:val="none" w:sz="0" w:space="0" w:color="auto"/>
      </w:divBdr>
    </w:div>
    <w:div w:id="1103113968">
      <w:bodyDiv w:val="1"/>
      <w:marLeft w:val="0"/>
      <w:marRight w:val="0"/>
      <w:marTop w:val="0"/>
      <w:marBottom w:val="0"/>
      <w:divBdr>
        <w:top w:val="none" w:sz="0" w:space="0" w:color="auto"/>
        <w:left w:val="none" w:sz="0" w:space="0" w:color="auto"/>
        <w:bottom w:val="none" w:sz="0" w:space="0" w:color="auto"/>
        <w:right w:val="none" w:sz="0" w:space="0" w:color="auto"/>
      </w:divBdr>
    </w:div>
    <w:div w:id="1208957295">
      <w:bodyDiv w:val="1"/>
      <w:marLeft w:val="0"/>
      <w:marRight w:val="0"/>
      <w:marTop w:val="0"/>
      <w:marBottom w:val="0"/>
      <w:divBdr>
        <w:top w:val="none" w:sz="0" w:space="0" w:color="auto"/>
        <w:left w:val="none" w:sz="0" w:space="0" w:color="auto"/>
        <w:bottom w:val="none" w:sz="0" w:space="0" w:color="auto"/>
        <w:right w:val="none" w:sz="0" w:space="0" w:color="auto"/>
      </w:divBdr>
    </w:div>
    <w:div w:id="1241019168">
      <w:bodyDiv w:val="1"/>
      <w:marLeft w:val="0"/>
      <w:marRight w:val="0"/>
      <w:marTop w:val="0"/>
      <w:marBottom w:val="0"/>
      <w:divBdr>
        <w:top w:val="none" w:sz="0" w:space="0" w:color="auto"/>
        <w:left w:val="none" w:sz="0" w:space="0" w:color="auto"/>
        <w:bottom w:val="none" w:sz="0" w:space="0" w:color="auto"/>
        <w:right w:val="none" w:sz="0" w:space="0" w:color="auto"/>
      </w:divBdr>
    </w:div>
    <w:div w:id="1288928921">
      <w:bodyDiv w:val="1"/>
      <w:marLeft w:val="0"/>
      <w:marRight w:val="0"/>
      <w:marTop w:val="0"/>
      <w:marBottom w:val="0"/>
      <w:divBdr>
        <w:top w:val="none" w:sz="0" w:space="0" w:color="auto"/>
        <w:left w:val="none" w:sz="0" w:space="0" w:color="auto"/>
        <w:bottom w:val="none" w:sz="0" w:space="0" w:color="auto"/>
        <w:right w:val="none" w:sz="0" w:space="0" w:color="auto"/>
      </w:divBdr>
    </w:div>
    <w:div w:id="1318994457">
      <w:bodyDiv w:val="1"/>
      <w:marLeft w:val="0"/>
      <w:marRight w:val="0"/>
      <w:marTop w:val="0"/>
      <w:marBottom w:val="0"/>
      <w:divBdr>
        <w:top w:val="none" w:sz="0" w:space="0" w:color="auto"/>
        <w:left w:val="none" w:sz="0" w:space="0" w:color="auto"/>
        <w:bottom w:val="none" w:sz="0" w:space="0" w:color="auto"/>
        <w:right w:val="none" w:sz="0" w:space="0" w:color="auto"/>
      </w:divBdr>
    </w:div>
    <w:div w:id="1507017430">
      <w:bodyDiv w:val="1"/>
      <w:marLeft w:val="0"/>
      <w:marRight w:val="0"/>
      <w:marTop w:val="0"/>
      <w:marBottom w:val="0"/>
      <w:divBdr>
        <w:top w:val="none" w:sz="0" w:space="0" w:color="auto"/>
        <w:left w:val="none" w:sz="0" w:space="0" w:color="auto"/>
        <w:bottom w:val="none" w:sz="0" w:space="0" w:color="auto"/>
        <w:right w:val="none" w:sz="0" w:space="0" w:color="auto"/>
      </w:divBdr>
    </w:div>
    <w:div w:id="1549563705">
      <w:bodyDiv w:val="1"/>
      <w:marLeft w:val="0"/>
      <w:marRight w:val="0"/>
      <w:marTop w:val="0"/>
      <w:marBottom w:val="0"/>
      <w:divBdr>
        <w:top w:val="none" w:sz="0" w:space="0" w:color="auto"/>
        <w:left w:val="none" w:sz="0" w:space="0" w:color="auto"/>
        <w:bottom w:val="none" w:sz="0" w:space="0" w:color="auto"/>
        <w:right w:val="none" w:sz="0" w:space="0" w:color="auto"/>
      </w:divBdr>
    </w:div>
    <w:div w:id="1562057942">
      <w:bodyDiv w:val="1"/>
      <w:marLeft w:val="0"/>
      <w:marRight w:val="0"/>
      <w:marTop w:val="0"/>
      <w:marBottom w:val="0"/>
      <w:divBdr>
        <w:top w:val="none" w:sz="0" w:space="0" w:color="auto"/>
        <w:left w:val="none" w:sz="0" w:space="0" w:color="auto"/>
        <w:bottom w:val="none" w:sz="0" w:space="0" w:color="auto"/>
        <w:right w:val="none" w:sz="0" w:space="0" w:color="auto"/>
      </w:divBdr>
    </w:div>
    <w:div w:id="1613900150">
      <w:bodyDiv w:val="1"/>
      <w:marLeft w:val="0"/>
      <w:marRight w:val="0"/>
      <w:marTop w:val="0"/>
      <w:marBottom w:val="0"/>
      <w:divBdr>
        <w:top w:val="none" w:sz="0" w:space="0" w:color="auto"/>
        <w:left w:val="none" w:sz="0" w:space="0" w:color="auto"/>
        <w:bottom w:val="none" w:sz="0" w:space="0" w:color="auto"/>
        <w:right w:val="none" w:sz="0" w:space="0" w:color="auto"/>
      </w:divBdr>
    </w:div>
    <w:div w:id="1644382597">
      <w:bodyDiv w:val="1"/>
      <w:marLeft w:val="0"/>
      <w:marRight w:val="0"/>
      <w:marTop w:val="0"/>
      <w:marBottom w:val="0"/>
      <w:divBdr>
        <w:top w:val="none" w:sz="0" w:space="0" w:color="auto"/>
        <w:left w:val="none" w:sz="0" w:space="0" w:color="auto"/>
        <w:bottom w:val="none" w:sz="0" w:space="0" w:color="auto"/>
        <w:right w:val="none" w:sz="0" w:space="0" w:color="auto"/>
      </w:divBdr>
    </w:div>
    <w:div w:id="1685745061">
      <w:bodyDiv w:val="1"/>
      <w:marLeft w:val="0"/>
      <w:marRight w:val="0"/>
      <w:marTop w:val="0"/>
      <w:marBottom w:val="0"/>
      <w:divBdr>
        <w:top w:val="none" w:sz="0" w:space="0" w:color="auto"/>
        <w:left w:val="none" w:sz="0" w:space="0" w:color="auto"/>
        <w:bottom w:val="none" w:sz="0" w:space="0" w:color="auto"/>
        <w:right w:val="none" w:sz="0" w:space="0" w:color="auto"/>
      </w:divBdr>
    </w:div>
    <w:div w:id="1748647016">
      <w:bodyDiv w:val="1"/>
      <w:marLeft w:val="0"/>
      <w:marRight w:val="0"/>
      <w:marTop w:val="0"/>
      <w:marBottom w:val="0"/>
      <w:divBdr>
        <w:top w:val="none" w:sz="0" w:space="0" w:color="auto"/>
        <w:left w:val="none" w:sz="0" w:space="0" w:color="auto"/>
        <w:bottom w:val="none" w:sz="0" w:space="0" w:color="auto"/>
        <w:right w:val="none" w:sz="0" w:space="0" w:color="auto"/>
      </w:divBdr>
    </w:div>
    <w:div w:id="1791777032">
      <w:bodyDiv w:val="1"/>
      <w:marLeft w:val="0"/>
      <w:marRight w:val="0"/>
      <w:marTop w:val="0"/>
      <w:marBottom w:val="0"/>
      <w:divBdr>
        <w:top w:val="none" w:sz="0" w:space="0" w:color="auto"/>
        <w:left w:val="none" w:sz="0" w:space="0" w:color="auto"/>
        <w:bottom w:val="none" w:sz="0" w:space="0" w:color="auto"/>
        <w:right w:val="none" w:sz="0" w:space="0" w:color="auto"/>
      </w:divBdr>
    </w:div>
    <w:div w:id="1844276464">
      <w:bodyDiv w:val="1"/>
      <w:marLeft w:val="0"/>
      <w:marRight w:val="0"/>
      <w:marTop w:val="0"/>
      <w:marBottom w:val="0"/>
      <w:divBdr>
        <w:top w:val="none" w:sz="0" w:space="0" w:color="auto"/>
        <w:left w:val="none" w:sz="0" w:space="0" w:color="auto"/>
        <w:bottom w:val="none" w:sz="0" w:space="0" w:color="auto"/>
        <w:right w:val="none" w:sz="0" w:space="0" w:color="auto"/>
      </w:divBdr>
    </w:div>
    <w:div w:id="1857767449">
      <w:bodyDiv w:val="1"/>
      <w:marLeft w:val="0"/>
      <w:marRight w:val="0"/>
      <w:marTop w:val="0"/>
      <w:marBottom w:val="0"/>
      <w:divBdr>
        <w:top w:val="none" w:sz="0" w:space="0" w:color="auto"/>
        <w:left w:val="none" w:sz="0" w:space="0" w:color="auto"/>
        <w:bottom w:val="none" w:sz="0" w:space="0" w:color="auto"/>
        <w:right w:val="none" w:sz="0" w:space="0" w:color="auto"/>
      </w:divBdr>
    </w:div>
    <w:div w:id="1901399235">
      <w:bodyDiv w:val="1"/>
      <w:marLeft w:val="0"/>
      <w:marRight w:val="0"/>
      <w:marTop w:val="0"/>
      <w:marBottom w:val="0"/>
      <w:divBdr>
        <w:top w:val="none" w:sz="0" w:space="0" w:color="auto"/>
        <w:left w:val="none" w:sz="0" w:space="0" w:color="auto"/>
        <w:bottom w:val="none" w:sz="0" w:space="0" w:color="auto"/>
        <w:right w:val="none" w:sz="0" w:space="0" w:color="auto"/>
      </w:divBdr>
    </w:div>
    <w:div w:id="203823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e.oecd.org/document/ENV/JM/MONO(2016)12/en/pdf" TargetMode="External"/><Relationship Id="rId21" Type="http://schemas.openxmlformats.org/officeDocument/2006/relationships/image" Target="media/image1.png"/><Relationship Id="rId34" Type="http://schemas.openxmlformats.org/officeDocument/2006/relationships/hyperlink" Target="http://www.oecd.org/officialdocuments/publicdisplaydocumentpdf/?cote=ENV/JM/MONO(2019)28&amp;docLanguage=en" TargetMode="External"/><Relationship Id="rId42" Type="http://schemas.openxmlformats.org/officeDocument/2006/relationships/hyperlink" Target="http://www.oecd.org/officialdocuments/publicdisplaydocumentpdf/?cote=ENV/JM/MONO(2018)26&amp;docLanguage=En" TargetMode="External"/><Relationship Id="rId47" Type="http://schemas.openxmlformats.org/officeDocument/2006/relationships/hyperlink" Target="https://community.oecd.org/docs/DOC-144256" TargetMode="External"/><Relationship Id="rId50" Type="http://schemas.openxmlformats.org/officeDocument/2006/relationships/hyperlink" Target="http://www.oecd.org/officialdocuments/publicdisplaydocumentpdf/?cote=env/jm/mono(2017)27&amp;doclanguage=en" TargetMode="External"/><Relationship Id="rId55" Type="http://schemas.openxmlformats.org/officeDocument/2006/relationships/hyperlink" Target="http://www.oecd.org/officialdocuments/publicdisplaydocumentpdf/?cote=env/jm/mono(2016)28&amp;doclanguage=en" TargetMode="External"/><Relationship Id="rId63" Type="http://schemas.openxmlformats.org/officeDocument/2006/relationships/hyperlink" Target="https://echa.europa.eu/documents/10162/17169198/template_for_weight_of_evidence_en.docx" TargetMode="External"/><Relationship Id="rId68" Type="http://schemas.openxmlformats.org/officeDocument/2006/relationships/hyperlink" Target="http://www.oecd.org/officialdocuments/publicdisplaydocumentpdf/?cote=ENV/JM/MONO(2019)27&amp;docLanguage=en" TargetMode="External"/><Relationship Id="rId76" Type="http://schemas.openxmlformats.org/officeDocument/2006/relationships/hyperlink" Target="http://www.oecd.org/officialdocuments/publicdisplaydocumentpdf/?cote=ENV/JM/MONO(2019)27&amp;docLanguage=en" TargetMode="External"/><Relationship Id="rId84" Type="http://schemas.openxmlformats.org/officeDocument/2006/relationships/hyperlink" Target="http://www.oecd.org/officialdocuments/publicdisplaydocumentpdf/?cote=env/jm/mono(2017)27&amp;doclanguage=en" TargetMode="External"/><Relationship Id="rId89" Type="http://schemas.openxmlformats.org/officeDocument/2006/relationships/hyperlink" Target="http://www.oecd.org/officialdocuments/publicdisplaydocumentpdf/?cote=env/jm/mono(2017)27&amp;doclanguage=en"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2903/j.efsa.2018.5122" TargetMode="External"/><Relationship Id="rId92" Type="http://schemas.openxmlformats.org/officeDocument/2006/relationships/hyperlink" Target="http://www.oecd.org/officialdocuments/publicdisplaydocumentpdf/?cote=env/jm/mono(2017)27&amp;doclanguage=en" TargetMode="External"/><Relationship Id="rId2" Type="http://schemas.openxmlformats.org/officeDocument/2006/relationships/numbering" Target="numbering.xml"/><Relationship Id="rId16" Type="http://schemas.openxmlformats.org/officeDocument/2006/relationships/hyperlink" Target="http://www.oecd.org/officialdocuments/publicdisplaydocumentpdf/?cote=env/jm/mono(2016)50&amp;doclanguage=en" TargetMode="External"/><Relationship Id="rId29" Type="http://schemas.openxmlformats.org/officeDocument/2006/relationships/hyperlink" Target="http://www.oecd.org/officialdocuments/publicdisplaydocumentpdf/?cote=ENV/JM/MONO(2020)22&amp;docLanguage=en" TargetMode="External"/><Relationship Id="rId11" Type="http://schemas.openxmlformats.org/officeDocument/2006/relationships/hyperlink" Target="http://www.oecd.org/officialdocuments/publicdisplaydocumentpdf/?cote=ENV/JM/MONO(2018)28&amp;docLanguage=En" TargetMode="External"/><Relationship Id="rId24" Type="http://schemas.openxmlformats.org/officeDocument/2006/relationships/hyperlink" Target="https://aopwiki.org/" TargetMode="External"/><Relationship Id="rId32" Type="http://schemas.openxmlformats.org/officeDocument/2006/relationships/hyperlink" Target="http://www.oecd.org/officialdocuments/publicdisplaydocumentpdf/?cote=env/jm/mono(2016)28&amp;doclanguage=en" TargetMode="External"/><Relationship Id="rId37" Type="http://schemas.openxmlformats.org/officeDocument/2006/relationships/hyperlink" Target="http://www.oecd.org/officialdocuments/publicdisplaydocumentpdf/?cote=ENV/JM/MONO(2018)26&amp;docLanguage=En" TargetMode="External"/><Relationship Id="rId40" Type="http://schemas.openxmlformats.org/officeDocument/2006/relationships/hyperlink" Target="http://www.oecd.org/officialdocuments/publicdisplaydocumentpdf/?cote=env/jm/mono(2017)27&amp;doclanguage=en" TargetMode="External"/><Relationship Id="rId45" Type="http://schemas.openxmlformats.org/officeDocument/2006/relationships/hyperlink" Target="https://ecvam-dbalm.jrc.ec.europa.eu/" TargetMode="External"/><Relationship Id="rId53" Type="http://schemas.openxmlformats.org/officeDocument/2006/relationships/hyperlink" Target="http://www.oecd.org/officialdocuments/publicdisplaydocumentpdf/?cote=ENV/JM/MONO(2018)27&amp;docLanguage=En" TargetMode="External"/><Relationship Id="rId58" Type="http://schemas.openxmlformats.org/officeDocument/2006/relationships/hyperlink" Target="http://www.oecd.org/officialdocuments/publicdisplaydocumentpdf/?cote=env/jm/mono(2017)27&amp;doclanguage=en" TargetMode="External"/><Relationship Id="rId66" Type="http://schemas.openxmlformats.org/officeDocument/2006/relationships/hyperlink" Target="https://apps.who.int/iris/handle/10665/259858" TargetMode="External"/><Relationship Id="rId74" Type="http://schemas.openxmlformats.org/officeDocument/2006/relationships/footer" Target="footer1.xml"/><Relationship Id="rId79" Type="http://schemas.openxmlformats.org/officeDocument/2006/relationships/hyperlink" Target="http://www.oecd.org/officialdocuments/publicdisplaydocumentpdf/?cote=ENV/JM/MONO(2019)28&amp;docLanguage=en" TargetMode="External"/><Relationship Id="rId87" Type="http://schemas.openxmlformats.org/officeDocument/2006/relationships/hyperlink" Target="http://www.oecd.org/officialdocuments/publicdisplaydocumentpdf/?cote=env/jm/mono(2017)27&amp;doclanguage=en" TargetMode="External"/><Relationship Id="rId5" Type="http://schemas.openxmlformats.org/officeDocument/2006/relationships/webSettings" Target="webSettings.xml"/><Relationship Id="rId61" Type="http://schemas.openxmlformats.org/officeDocument/2006/relationships/hyperlink" Target="http://www.oecd.org/officialdocuments/publicdisplaydocumentpdf/?cote=env/jm/mono(2016)28&amp;doclanguage=en" TargetMode="External"/><Relationship Id="rId82" Type="http://schemas.openxmlformats.org/officeDocument/2006/relationships/hyperlink" Target="http://www.oecd.org/officialdocuments/publicdisplaydocumentpdf/?cote=ENV/JM/MONO(2019)28&amp;docLanguage=en" TargetMode="External"/><Relationship Id="rId90" Type="http://schemas.openxmlformats.org/officeDocument/2006/relationships/hyperlink" Target="http://www.oecd.org/officialdocuments/publicdisplaydocumentpdf/?cote=ENV/JM/MONO(2018)27&amp;docLanguage=En" TargetMode="External"/><Relationship Id="rId95" Type="http://schemas.openxmlformats.org/officeDocument/2006/relationships/hyperlink" Target="http://www.oecd.org/officialdocuments/publicdisplaydocumentpdf/?cote=ENV/JM/MONO(2019)27&amp;docLanguage=en" TargetMode="External"/><Relationship Id="rId19" Type="http://schemas.openxmlformats.org/officeDocument/2006/relationships/hyperlink" Target="http://www.oecd.org/officialdocuments/publicdisplaydocumentpdf/?cote=ENV/JM/MONO(2020)19&amp;docLanguage=en" TargetMode="External"/><Relationship Id="rId14" Type="http://schemas.openxmlformats.org/officeDocument/2006/relationships/hyperlink" Target="http://www.oecd.org/officialdocuments/publicdisplaydocumentpdf/?cote=ENV/JM/MONO(2019)28&amp;docLanguage=en" TargetMode="External"/><Relationship Id="rId22" Type="http://schemas.openxmlformats.org/officeDocument/2006/relationships/hyperlink" Target="https://one.oecd.org/document/ENV/JM/MONO(2016)12/en/pdf" TargetMode="External"/><Relationship Id="rId27" Type="http://schemas.openxmlformats.org/officeDocument/2006/relationships/hyperlink" Target="http://www.oecd.org/officialdocuments/publicdisplaydocumentpdf/?cote=ENV/JM/MONO(2019)28&amp;docLanguage=en" TargetMode="External"/><Relationship Id="rId30" Type="http://schemas.openxmlformats.org/officeDocument/2006/relationships/hyperlink" Target="http://www.oecd.org/officialdocuments/publicdisplaydocumentpdf/?cote=ENV/JM/MONO(2020)23&amp;docLanguage=en" TargetMode="External"/><Relationship Id="rId35" Type="http://schemas.openxmlformats.org/officeDocument/2006/relationships/hyperlink" Target="http://www.oecd.org/officialdocuments/publicdisplaydocumentpdf/?cote=env/jm/mono(2017)27&amp;doclanguage=en" TargetMode="External"/><Relationship Id="rId43" Type="http://schemas.openxmlformats.org/officeDocument/2006/relationships/hyperlink" Target="http://www.oecd.org/officialdocuments/publicdisplaydocumentpdf/?cote=ENV/JM/MONO(2018)26&amp;docLanguage=En" TargetMode="External"/><Relationship Id="rId48" Type="http://schemas.openxmlformats.org/officeDocument/2006/relationships/hyperlink" Target="https://community.oecd.org/docs/DOC-144257" TargetMode="External"/><Relationship Id="rId56" Type="http://schemas.openxmlformats.org/officeDocument/2006/relationships/hyperlink" Target="http://www.oecd.org/officialdocuments/publicdisplaydocumentpdf/?cote=ENV/JM/MONO(2019)28&amp;docLanguage=en" TargetMode="External"/><Relationship Id="rId64" Type="http://schemas.openxmlformats.org/officeDocument/2006/relationships/hyperlink" Target="https://efsa.onlinelibrary.wiley.com/doi/full/10.2903/j.efsa.2018.5123" TargetMode="External"/><Relationship Id="rId69" Type="http://schemas.openxmlformats.org/officeDocument/2006/relationships/hyperlink" Target="http://www.oecd.org/officialdocuments/publicdisplaydocumentpdf/?cote=ENV/JM/MONO(2020)19&amp;docLanguage=en" TargetMode="External"/><Relationship Id="rId77" Type="http://schemas.openxmlformats.org/officeDocument/2006/relationships/hyperlink" Target="http://www.oecd.org/officialdocuments/publicdisplaydocumentpdf/?cote=ENV/JM/MONO(2019)28&amp;docLanguage=en" TargetMode="External"/><Relationship Id="rId8" Type="http://schemas.openxmlformats.org/officeDocument/2006/relationships/hyperlink" Target="http://www.oecd.org/chemicalsafety/risk-assessment/concepts-and-available-guidance-related-to-integrated-approaches-to-testing-and-assessment.pdf" TargetMode="External"/><Relationship Id="rId51" Type="http://schemas.openxmlformats.org/officeDocument/2006/relationships/hyperlink" Target="http://www.oecd.org/officialdocuments/publicdisplaydocumentpdf/?cote=env/jm/mono(2017)27&amp;doclanguage=en" TargetMode="External"/><Relationship Id="rId72" Type="http://schemas.openxmlformats.org/officeDocument/2006/relationships/hyperlink" Target="https://apps.who.int/iris/handle/10665/259858" TargetMode="External"/><Relationship Id="rId80" Type="http://schemas.openxmlformats.org/officeDocument/2006/relationships/hyperlink" Target="http://www.oecd.org/officialdocuments/publicdisplaydocumentpdf/?cote=env/jm/mono(2016)49&amp;doclanguage=en" TargetMode="External"/><Relationship Id="rId85" Type="http://schemas.openxmlformats.org/officeDocument/2006/relationships/hyperlink" Target="http://www.oecd.org/officialdocuments/publicdisplaydocumentpdf/?cote=ENV/JM/MONO(2018)26&amp;docLanguage=En" TargetMode="External"/><Relationship Id="rId93" Type="http://schemas.openxmlformats.org/officeDocument/2006/relationships/hyperlink" Target="http://www.oecd.org/officialdocuments/publicdisplaydocumentpdf/?cote=ENV/JM/MONO(2018)27&amp;docLanguage=En" TargetMode="External"/><Relationship Id="rId98" Type="http://schemas.microsoft.com/office/2016/09/relationships/commentsIds" Target="commentsIds.xml"/><Relationship Id="rId3" Type="http://schemas.openxmlformats.org/officeDocument/2006/relationships/styles" Target="styles.xml"/><Relationship Id="rId12" Type="http://schemas.openxmlformats.org/officeDocument/2006/relationships/hyperlink" Target="http://www.oecd.org/officialdocuments/publicdisplaydocumentpdf/?cote=env/jm/mono(2014)4&amp;doclanguage=en" TargetMode="External"/><Relationship Id="rId17" Type="http://schemas.openxmlformats.org/officeDocument/2006/relationships/hyperlink" Target="http://www.oecd.org/officialdocuments/publicdisplaydocumentpdf/?cote=env/jm/mono(2016)49&amp;doclanguage=en" TargetMode="External"/><Relationship Id="rId25" Type="http://schemas.openxmlformats.org/officeDocument/2006/relationships/hyperlink" Target="https://www.effectopedia.org/" TargetMode="External"/><Relationship Id="rId33" Type="http://schemas.openxmlformats.org/officeDocument/2006/relationships/hyperlink" Target="http://www.oecd.org/officialdocuments/publicdisplaydocumentpdf/?cote=env/jm/mono(2016)28&amp;doclanguage=en" TargetMode="External"/><Relationship Id="rId38" Type="http://schemas.openxmlformats.org/officeDocument/2006/relationships/hyperlink" Target="http://www.oecd.org/officialdocuments/publicdisplaydocumentpdf/?cote=ENV/JM/MONO(2018)27&amp;docLanguage=En" TargetMode="External"/><Relationship Id="rId46" Type="http://schemas.openxmlformats.org/officeDocument/2006/relationships/hyperlink" Target="https://www.epa.gov/chemical-research/toxicity-forecaster-toxcasttm-data" TargetMode="External"/><Relationship Id="rId59" Type="http://schemas.openxmlformats.org/officeDocument/2006/relationships/hyperlink" Target="http://www.oecd.org/officialdocuments/publicdisplaydocumentpdf/?cote=ENV/JM/MONO(2018)27&amp;docLanguage=En" TargetMode="External"/><Relationship Id="rId67" Type="http://schemas.openxmlformats.org/officeDocument/2006/relationships/hyperlink" Target="http://www.oecd.org/officialdocuments/publicdisplaydocumentpdf/?cote=ENV/JM/MONO(2019)31&amp;docLanguage=en" TargetMode="External"/><Relationship Id="rId20" Type="http://schemas.openxmlformats.org/officeDocument/2006/relationships/hyperlink" Target="http://www.oecd.org/officialdocuments/publicdisplaydocumentpdf/?cote=ENV/JM/MONO(2020)20&amp;docLanguage=en" TargetMode="External"/><Relationship Id="rId41" Type="http://schemas.openxmlformats.org/officeDocument/2006/relationships/hyperlink" Target="http://www.oecd.org/officialdocuments/publicdisplaydocumentpdf/?cote=env/jm/mono(2017)27&amp;doclanguage=en" TargetMode="External"/><Relationship Id="rId54" Type="http://schemas.openxmlformats.org/officeDocument/2006/relationships/hyperlink" Target="http://www.oecd.org/officialdocuments/publicdisplaydocumentpdf/?cote=env/jm/mono(2016)28&amp;doclanguage=en" TargetMode="External"/><Relationship Id="rId62" Type="http://schemas.openxmlformats.org/officeDocument/2006/relationships/hyperlink" Target="http://www.oecd.org/officialdocuments/publicdisplaydocumentpdf/?cote=env/jm/mono(2016)29&amp;doclanguage=en" TargetMode="External"/><Relationship Id="rId70" Type="http://schemas.openxmlformats.org/officeDocument/2006/relationships/hyperlink" Target="https://doi.org/10.2903/j.efsa.2018.5123" TargetMode="External"/><Relationship Id="rId75" Type="http://schemas.openxmlformats.org/officeDocument/2006/relationships/hyperlink" Target="http://www.oecd.org/officialdocuments/publicdisplaydocumentpdf/?cote=ENV/JM/MONO(2018)28&amp;docLanguage=En" TargetMode="External"/><Relationship Id="rId83" Type="http://schemas.openxmlformats.org/officeDocument/2006/relationships/hyperlink" Target="http://www.oecd.org/officialdocuments/publicdisplaydocumentpdf/?cote=ENV/JM/MONO(2019)28&amp;docLanguage=en" TargetMode="External"/><Relationship Id="rId88" Type="http://schemas.openxmlformats.org/officeDocument/2006/relationships/hyperlink" Target="http://www.oecd.org/officialdocuments/publicdisplaydocumentpdf/?cote=ENV/JM/MONO(2018)26&amp;docLanguage=En" TargetMode="External"/><Relationship Id="rId91" Type="http://schemas.openxmlformats.org/officeDocument/2006/relationships/hyperlink" Target="http://www.oecd.org/officialdocuments/publicdisplaydocumentpdf/?cote=ENV/JM/MONO(2019)28&amp;docLanguage=en"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ecd.org/officialdocuments/publicdisplaydocumentpdf/?cote=env/jm/mono(2016)49&amp;doclanguage=en" TargetMode="External"/><Relationship Id="rId23" Type="http://schemas.openxmlformats.org/officeDocument/2006/relationships/hyperlink" Target="https://aopkb.oecd.org/" TargetMode="External"/><Relationship Id="rId28" Type="http://schemas.openxmlformats.org/officeDocument/2006/relationships/hyperlink" Target="http://www.oecd.org/officialdocuments/publicdisplaydocumentpdf/?cote=ENV/JM/MONO(2020)20&amp;docLanguage=en" TargetMode="External"/><Relationship Id="rId36" Type="http://schemas.openxmlformats.org/officeDocument/2006/relationships/hyperlink" Target="http://www.oecd.org/officialdocuments/publicdisplaydocumentpdf/?cote=ENV/JM/MONO(2018)26&amp;docLanguage=En" TargetMode="External"/><Relationship Id="rId49" Type="http://schemas.openxmlformats.org/officeDocument/2006/relationships/hyperlink" Target="https://qsardb.jrc.ec.europa.eu/qmrf/" TargetMode="External"/><Relationship Id="rId57" Type="http://schemas.openxmlformats.org/officeDocument/2006/relationships/hyperlink" Target="http://www.oecd.org/officialdocuments/publicdisplaydocumentpdf/?cote=env/jm/mono(2017)27&amp;doclanguage=en" TargetMode="External"/><Relationship Id="rId10" Type="http://schemas.openxmlformats.org/officeDocument/2006/relationships/hyperlink" Target="http://www.oecd.org/officialdocuments/publicdisplaydocumentpdf/?cote=ENV/JM/MONO(2019)28&amp;docLanguage=en" TargetMode="External"/><Relationship Id="rId31" Type="http://schemas.openxmlformats.org/officeDocument/2006/relationships/image" Target="media/image2.png"/><Relationship Id="rId44" Type="http://schemas.openxmlformats.org/officeDocument/2006/relationships/hyperlink" Target="http://www.oecd.org/officialdocuments/publicdisplaydocumentpdf/?cote=ENV/JM/MONO(2014)35&amp;doclanguage=en" TargetMode="External"/><Relationship Id="rId52" Type="http://schemas.openxmlformats.org/officeDocument/2006/relationships/hyperlink" Target="http://www.oecd.org/officialdocuments/publicdisplaydocumentpdf/?cote=ENV/JM/MONO(2018)27&amp;docLanguage=En" TargetMode="External"/><Relationship Id="rId60" Type="http://schemas.openxmlformats.org/officeDocument/2006/relationships/hyperlink" Target="http://www.oecd.org/officialdocuments/publicdisplaydocumentpdf/?cote=ENV/JM/MONO(2019)28&amp;docLanguage=en" TargetMode="External"/><Relationship Id="rId65" Type="http://schemas.openxmlformats.org/officeDocument/2006/relationships/hyperlink" Target="https://efsa.onlinelibrary.wiley.com/doi/full/10.2903/j.efsa.2018.5122" TargetMode="External"/><Relationship Id="rId73" Type="http://schemas.openxmlformats.org/officeDocument/2006/relationships/header" Target="header1.xml"/><Relationship Id="rId78" Type="http://schemas.openxmlformats.org/officeDocument/2006/relationships/hyperlink" Target="http://www.oecd.org/officialdocuments/publicdisplaydocumentpdf/?cote=ENV/JM/MONO(2018)27&amp;docLanguage=En" TargetMode="External"/><Relationship Id="rId81" Type="http://schemas.openxmlformats.org/officeDocument/2006/relationships/hyperlink" Target="http://www.oecd.org/officialdocuments/publicdisplaydocumentpdf/?cote=env/jm/mono(2016)50&amp;doclanguage=en" TargetMode="External"/><Relationship Id="rId86" Type="http://schemas.openxmlformats.org/officeDocument/2006/relationships/hyperlink" Target="http://www.oecd.org/officialdocuments/publicdisplaydocumentpdf/?cote=ENV/JM/MONO(2018)27&amp;docLanguage=En" TargetMode="External"/><Relationship Id="rId94" Type="http://schemas.openxmlformats.org/officeDocument/2006/relationships/hyperlink" Target="http://www.oecd.org/officialdocuments/publicdisplaydocumentpdf/?cote=ENV/JM/MONO(2019)28&amp;docLanguage=en" TargetMode="External"/><Relationship Id="rId4" Type="http://schemas.openxmlformats.org/officeDocument/2006/relationships/settings" Target="settings.xml"/><Relationship Id="rId9" Type="http://schemas.openxmlformats.org/officeDocument/2006/relationships/hyperlink" Target="http://www.oecd.org/officialdocuments/publicdisplaydocumentpdf/?cote=ENV/JM/MONO(2019)27&amp;docLanguage=en" TargetMode="External"/><Relationship Id="rId13" Type="http://schemas.openxmlformats.org/officeDocument/2006/relationships/hyperlink" Target="http://www.oecd.org/officialdocuments/publicdisplaydocumentpdf/?cote=ENV/JM/MONO(2018)27&amp;docLanguage=En" TargetMode="External"/><Relationship Id="rId18" Type="http://schemas.openxmlformats.org/officeDocument/2006/relationships/hyperlink" Target="http://www.oecd.org/officialdocuments/publicdisplaydocumentpdf/?cote=env/jm/mono(2016)50&amp;doclanguage=en" TargetMode="External"/><Relationship Id="rId39" Type="http://schemas.openxmlformats.org/officeDocument/2006/relationships/hyperlink" Target="http://www.oecd.org/officialdocuments/publicdisplaydocumentpdf/?cote=env/jm/mono(2014)4&amp;doclanguage=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qsardb.jrc.ec.europa.eu/qmrf/" TargetMode="External"/><Relationship Id="rId3" Type="http://schemas.openxmlformats.org/officeDocument/2006/relationships/hyperlink" Target="https://www.effectopedia.org/" TargetMode="External"/><Relationship Id="rId7" Type="http://schemas.openxmlformats.org/officeDocument/2006/relationships/hyperlink" Target="https://community.oecd.org/docs/DOC-144257" TargetMode="External"/><Relationship Id="rId2" Type="http://schemas.openxmlformats.org/officeDocument/2006/relationships/hyperlink" Target="https://aopwiki.org/" TargetMode="External"/><Relationship Id="rId1" Type="http://schemas.openxmlformats.org/officeDocument/2006/relationships/hyperlink" Target="https://aopkb.oecd.org/" TargetMode="External"/><Relationship Id="rId6" Type="http://schemas.openxmlformats.org/officeDocument/2006/relationships/hyperlink" Target="https://community.oecd.org/docs/DOC-144256" TargetMode="External"/><Relationship Id="rId5" Type="http://schemas.openxmlformats.org/officeDocument/2006/relationships/hyperlink" Target="https://www.epa.gov/chemical-research/toxicity-forecaster-toxcasttm-data" TargetMode="External"/><Relationship Id="rId4" Type="http://schemas.openxmlformats.org/officeDocument/2006/relationships/hyperlink" Target="https://ecvam-dbalm.jrc.ec.europa.eu/" TargetMode="External"/><Relationship Id="rId9" Type="http://schemas.openxmlformats.org/officeDocument/2006/relationships/hyperlink" Target="https://echa.europa.eu/documents/10162//17169198/template_for_weight_of_evidence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8EB90-D362-4B62-AFFA-47C6B828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6002</Words>
  <Characters>34212</Characters>
  <Application>Microsoft Office Word</Application>
  <DocSecurity>0</DocSecurity>
  <Lines>1036</Lines>
  <Paragraphs>423</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39791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SAKURATANI Yuki</dc:creator>
  <cp:lastModifiedBy>BROWNE Patience, ENV/EHS</cp:lastModifiedBy>
  <cp:revision>2</cp:revision>
  <cp:lastPrinted>2020-01-08T10:20:00Z</cp:lastPrinted>
  <dcterms:created xsi:type="dcterms:W3CDTF">2021-12-01T15:03:00Z</dcterms:created>
  <dcterms:modified xsi:type="dcterms:W3CDTF">2021-12-01T15:03:00Z</dcterms:modified>
</cp:coreProperties>
</file>