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52"/>
          <w:szCs w:val="52"/>
          <w:rtl w:val="0"/>
        </w:rPr>
        <w:t xml:space="preserve">Treści postów na potrzeby mediów społecznościowych – kampania Safe2Eat 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b w:val="1"/>
          <w:bCs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40"/>
          <w:szCs w:val="40"/>
          <w:rtl w:val="0"/>
        </w:rPr>
        <w:t xml:space="preserve">Suplementy diety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X/Bluesky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Myślisz o przyjmowaniu suplementów diety?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💊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EFSA opiniuje składniki suplementów, a lokalne władze nadzorują ich bezpieczeństwo. Dowiedz się więcej z #Safe2EatEU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👉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 </w:t>
      </w:r>
      <w:hyperlink r:id="rId7">
        <w:r w:rsidDel="00000000" w:rsidR="00000000" w:rsidRPr="00000000">
          <w:rPr>
            <w:rFonts w:ascii="Verdana" w:cs="Verdana" w:eastAsia="Verdana" w:hAnsi="Verdana"/>
            <w:color w:val="467886"/>
            <w:sz w:val="21"/>
            <w:szCs w:val="21"/>
            <w:u w:val="single"/>
            <w:rtl w:val="0"/>
          </w:rPr>
          <w:t xml:space="preserve">https://www.efsa.europa.eu/pl/safe2eat/food-supplements</w:t>
        </w:r>
      </w:hyperlink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 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Instagram/Facebook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💊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Przyjmujesz suplementy diety?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EFSA współpracuje z władzami poszczególnych państw członkowskich w zakresie bezpieczeństwa tych środków. Pamiętaj jednak, że suplementy diety nie zastąpią zbilansowanej diety. Ich wybór zawsze konsultuj z lekarzem! 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Dowiedz się więcej dzięki kampanii #Safe2EatEU! Link w bio!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🔗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LinkedIn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Zastanawiasz się nad przyjmowaniem suplementów diety?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💊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Zanim podejmiesz decyzję, pamiętaj, że powinny one stanowić uzupełnienie diety, a nie ją zastępować. Zawsze konsultuj się z lekarzem, aby być pewnym, czy potrzebujesz suplementacji.  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W Unii Europejskiej suplementy diety są badane i regulowane na szczeblu krajowym. Na wniosek KE EFSA przeprowadza naukowe analizy tych produktów w celu zapewnienia ich bezpieczeństwa. 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Dowiedz się, jak podejmować świadome decyzje z kampanią #Safe2EatEU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👉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</w:t>
      </w:r>
      <w:hyperlink r:id="rId8">
        <w:r w:rsidDel="00000000" w:rsidR="00000000" w:rsidRPr="00000000">
          <w:rPr>
            <w:rFonts w:ascii="Verdana" w:cs="Verdana" w:eastAsia="Verdana" w:hAnsi="Verdana"/>
            <w:color w:val="467886"/>
            <w:sz w:val="21"/>
            <w:szCs w:val="21"/>
            <w:u w:val="single"/>
            <w:rtl w:val="0"/>
          </w:rPr>
          <w:t xml:space="preserve">https://www.efsa.europa.eu/en/safe2eat/food-supplements</w:t>
        </w:r>
      </w:hyperlink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 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276600" cy="3276600"/>
            <wp:effectExtent b="0" l="0" r="0" t="0"/>
            <wp:docPr id="179591045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Verdana" w:cs="Verdana" w:eastAsia="Verdana" w:hAnsi="Verdana"/>
          <w:sz w:val="21"/>
          <w:szCs w:val="21"/>
          <w:shd w:fill="f9cb9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Verdana" w:cs="Verdana" w:eastAsia="Verdana" w:hAnsi="Verdana"/>
          <w:b w:val="1"/>
          <w:bCs w:val="1"/>
          <w:color w:val="0f4761"/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0f4761"/>
          <w:sz w:val="40"/>
          <w:szCs w:val="40"/>
          <w:rtl w:val="0"/>
        </w:rPr>
        <w:t xml:space="preserve">Etykiety żywności</w:t>
      </w:r>
    </w:p>
    <w:p w:rsidR="00000000" w:rsidDel="00000000" w:rsidP="00000000" w:rsidRDefault="00000000" w:rsidRPr="00000000" w14:paraId="00000021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X/Bluesky</w:t>
      </w:r>
    </w:p>
    <w:p w:rsidR="00000000" w:rsidDel="00000000" w:rsidP="00000000" w:rsidRDefault="00000000" w:rsidRPr="00000000" w14:paraId="00000022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🗓️🏷️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Niezrozumienie oznaczeń na żywności może prowadzić do jej marnowania. Dane oparte na badaniach naukowych pomagają podejmować świadome decyzje.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🛑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„Należy spożyć do”: spożyć do tego dnia.</w:t>
      </w:r>
    </w:p>
    <w:p w:rsidR="00000000" w:rsidDel="00000000" w:rsidP="00000000" w:rsidRDefault="00000000" w:rsidRPr="00000000" w14:paraId="00000024">
      <w:pPr>
        <w:rPr>
          <w:rFonts w:ascii="Verdana" w:cs="Verdana" w:eastAsia="Verdana" w:hAnsi="Verdana"/>
          <w:sz w:val="21"/>
          <w:szCs w:val="21"/>
        </w:rPr>
      </w:pPr>
      <w:sdt>
        <w:sdtPr>
          <w:id w:val="917439296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✅</w:t>
          </w:r>
        </w:sdtContent>
      </w:sdt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„Najlepiej spożyć przed”: produkt jest bezpieczny, jeśli był prawidłowo przechowywany.</w:t>
      </w:r>
    </w:p>
    <w:p w:rsidR="00000000" w:rsidDel="00000000" w:rsidP="00000000" w:rsidRDefault="00000000" w:rsidRPr="00000000" w14:paraId="00000025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Dowiedz się więcej z #Safe2EatEU: </w:t>
      </w:r>
      <w:hyperlink r:id="rId10">
        <w:r w:rsidDel="00000000" w:rsidR="00000000" w:rsidRPr="00000000">
          <w:rPr>
            <w:rFonts w:ascii="Verdana" w:cs="Verdana" w:eastAsia="Verdana" w:hAnsi="Verdana"/>
            <w:color w:val="467886"/>
            <w:sz w:val="21"/>
            <w:szCs w:val="21"/>
            <w:u w:val="single"/>
            <w:rtl w:val="0"/>
          </w:rPr>
          <w:t xml:space="preserve">https://www.efsa.europa.eu/pl/safe2eat/food-labels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Instagram/Facebook</w:t>
      </w:r>
    </w:p>
    <w:p w:rsidR="00000000" w:rsidDel="00000000" w:rsidP="00000000" w:rsidRDefault="00000000" w:rsidRPr="00000000" w14:paraId="00000028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🗓️🏷️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Czy wiesz, że niezrozumienie oznaczeń na żywności może prowadzić do jej marnowania?</w:t>
      </w:r>
    </w:p>
    <w:p w:rsidR="00000000" w:rsidDel="00000000" w:rsidP="00000000" w:rsidRDefault="00000000" w:rsidRPr="00000000" w14:paraId="00000029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W UE nawet 10% żywności marnuje się z powodu błędnego zrozumienia terminów „należy spożyć do” i „najlepiej spożyć przed”. Poznaj różnicę!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🛑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„Należy spożyć do” odnosi się do bezpieczeństwa żywności. Produkt należy spożyć do tej daty, aby uniknąć ryzyka zachorowania. </w:t>
      </w:r>
    </w:p>
    <w:p w:rsidR="00000000" w:rsidDel="00000000" w:rsidP="00000000" w:rsidRDefault="00000000" w:rsidRPr="00000000" w14:paraId="0000002B">
      <w:pPr>
        <w:rPr>
          <w:rFonts w:ascii="Verdana" w:cs="Verdana" w:eastAsia="Verdana" w:hAnsi="Verdana"/>
          <w:sz w:val="21"/>
          <w:szCs w:val="21"/>
        </w:rPr>
      </w:pPr>
      <w:sdt>
        <w:sdtPr>
          <w:id w:val="1917225731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✅</w:t>
          </w:r>
        </w:sdtContent>
      </w:sdt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„Najlepiej spożyć przed” odnosi się do jakości żywności. Jeśli produkt był prawidłowo przechowywany, nadal jest bezpieczny do spożycia. Nie trzeba go od razu wyrzucać!</w:t>
      </w:r>
    </w:p>
    <w:p w:rsidR="00000000" w:rsidDel="00000000" w:rsidP="00000000" w:rsidRDefault="00000000" w:rsidRPr="00000000" w14:paraId="0000002C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Zacznij podejmować świadome decyzje – wybieraj wiedzę opartą na nauce!</w:t>
      </w:r>
    </w:p>
    <w:p w:rsidR="00000000" w:rsidDel="00000000" w:rsidP="00000000" w:rsidRDefault="00000000" w:rsidRPr="00000000" w14:paraId="0000002D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Więcej informacji znajdziesz pod linkiem w opisie!</w:t>
      </w:r>
    </w:p>
    <w:p w:rsidR="00000000" w:rsidDel="00000000" w:rsidP="00000000" w:rsidRDefault="00000000" w:rsidRPr="00000000" w14:paraId="0000002E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#Safe2EatEU</w:t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spacing w:line="276" w:lineRule="auto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LinkedIn</w:t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🗓️🏷️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 Czy wiesz, że niezrozumienie oznaczeń na żywności może prowadzić do jej marnowania?</w:t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W UE nawet 10% żywności marnuje się z powodu błędnego zrozumienia oznaczeń dotyczących terminów. Rozumienie różnicy między terminem „należy spożyć do” a terminem „najlepiej spożyć przed” może pomóc ograniczyć marnowanie żywności i zadbać o bezpieczeństwo posiłków.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🛑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„Należy spożyć do” odnosi się do bezpieczeństwa żywności. To wskazanie, że produkt należy spożyć do konkretnej daty, aby uniknąć ryzyka zachorowania.</w:t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sz w:val="21"/>
          <w:szCs w:val="21"/>
        </w:rPr>
      </w:pPr>
      <w:sdt>
        <w:sdtPr>
          <w:id w:val="-1534264704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✅</w:t>
          </w:r>
        </w:sdtContent>
      </w:sdt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„Najlepiej spożyć przed” odnosi się do jakości żywności. Po tej dacie żywność nadal jest bezpieczna do spożycia, jeśli była właściwie przechowywana.</w:t>
      </w:r>
    </w:p>
    <w:p w:rsidR="00000000" w:rsidDel="00000000" w:rsidP="00000000" w:rsidRDefault="00000000" w:rsidRPr="00000000" w14:paraId="00000035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Aby ograniczyć marnowanie żywności, naukowcy i producenci dbają o jej rzetelne oznakowanie oparte na wiedzy naukowej. Wytyczne EFSA wspierają prawidłowe stosowanie tych oznaczeń.</w:t>
      </w:r>
    </w:p>
    <w:p w:rsidR="00000000" w:rsidDel="00000000" w:rsidP="00000000" w:rsidRDefault="00000000" w:rsidRPr="00000000" w14:paraId="00000036">
      <w:pPr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Dowiedz się, jak podejmować świadome decyzje z #Safe2EatEU </w:t>
      </w:r>
      <w:r w:rsidDel="00000000" w:rsidR="00000000" w:rsidRPr="00000000">
        <w:rPr>
          <w:rFonts w:ascii="Quattrocento Sans" w:cs="Quattrocento Sans" w:eastAsia="Quattrocento Sans" w:hAnsi="Quattrocento Sans"/>
          <w:sz w:val="21"/>
          <w:szCs w:val="21"/>
          <w:rtl w:val="0"/>
        </w:rPr>
        <w:t xml:space="preserve">👉</w:t>
      </w:r>
      <w:r w:rsidDel="00000000" w:rsidR="00000000" w:rsidRPr="00000000">
        <w:rPr>
          <w:rFonts w:ascii="Verdana" w:cs="Verdana" w:eastAsia="Verdana" w:hAnsi="Verdana"/>
          <w:sz w:val="21"/>
          <w:szCs w:val="21"/>
          <w:rtl w:val="0"/>
        </w:rPr>
        <w:t xml:space="preserve"> </w:t>
      </w:r>
      <w:hyperlink r:id="rId11">
        <w:r w:rsidDel="00000000" w:rsidR="00000000" w:rsidRPr="00000000">
          <w:rPr>
            <w:rFonts w:ascii="Verdana" w:cs="Verdana" w:eastAsia="Verdana" w:hAnsi="Verdana"/>
            <w:color w:val="467886"/>
            <w:sz w:val="21"/>
            <w:szCs w:val="21"/>
            <w:u w:val="single"/>
            <w:rtl w:val="0"/>
          </w:rPr>
          <w:t xml:space="preserve">https://www.efsa.europa.eu/pl/safe2eat/food-labels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Verdana" w:cs="Verdana" w:eastAsia="Verdana" w:hAnsi="Verdana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sz w:val="21"/>
          <w:szCs w:val="21"/>
        </w:rPr>
        <w:drawing>
          <wp:inline distB="0" distT="0" distL="0" distR="0">
            <wp:extent cx="2433818" cy="2430697"/>
            <wp:effectExtent b="0" l="0" r="0" t="0"/>
            <wp:docPr id="17959104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818" cy="2430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center" w:leader="none" w:pos="4807"/>
      </w:tabs>
      <w:spacing w:after="0" w:line="240" w:lineRule="auto"/>
      <w:rPr>
        <w:color w:val="0e2841"/>
      </w:rPr>
    </w:pPr>
    <w:r w:rsidDel="00000000" w:rsidR="00000000" w:rsidRPr="00000000">
      <w:rPr>
        <w:color w:val="0e2841"/>
        <w:sz w:val="21"/>
        <w:szCs w:val="21"/>
        <w:rtl w:val="0"/>
      </w:rPr>
      <w:t xml:space="preserve">Safe2Eat social media copies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5427351</wp:posOffset>
          </wp:positionH>
          <wp:positionV relativeFrom="paragraph">
            <wp:posOffset>-139966</wp:posOffset>
          </wp:positionV>
          <wp:extent cx="516249" cy="486000"/>
          <wp:effectExtent b="0" l="0" r="0" t="0"/>
          <wp:wrapNone/>
          <wp:docPr descr="C:\Users\HAU\AppData\Local\Microsoft\Windows\INetCache\Content.Word\Logo vertical EN.png" id="1795910454" name="image1.png"/>
          <a:graphic>
            <a:graphicData uri="http://schemas.openxmlformats.org/drawingml/2006/picture">
              <pic:pic>
                <pic:nvPicPr>
                  <pic:cNvPr descr="C:\Users\HAU\AppData\Local\Microsoft\Windows\INetCache\Content.Word\Logo vertical EN.png" id="0" name="image1.png"/>
                  <pic:cNvPicPr preferRelativeResize="0"/>
                </pic:nvPicPr>
                <pic:blipFill>
                  <a:blip r:embed="rId1"/>
                  <a:srcRect b="70764" l="52692" r="0" t="0"/>
                  <a:stretch>
                    <a:fillRect/>
                  </a:stretch>
                </pic:blipFill>
                <pic:spPr>
                  <a:xfrm>
                    <a:off x="0" y="0"/>
                    <a:ext cx="516249" cy="486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3784"/>
        <w:tab w:val="center" w:leader="none" w:pos="4807"/>
      </w:tabs>
      <w:spacing w:after="0" w:line="240" w:lineRule="auto"/>
      <w:rPr>
        <w:color w:val="2c7fce"/>
      </w:rPr>
    </w:pPr>
    <w:r w:rsidDel="00000000" w:rsidR="00000000" w:rsidRPr="00000000">
      <w:rPr>
        <w:color w:val="2c7fce"/>
        <w:rtl w:val="0"/>
      </w:rPr>
      <w:tab/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-880108</wp:posOffset>
          </wp:positionH>
          <wp:positionV relativeFrom="paragraph">
            <wp:posOffset>0</wp:posOffset>
          </wp:positionV>
          <wp:extent cx="597535" cy="1195705"/>
          <wp:effectExtent b="0" l="0" r="0" t="0"/>
          <wp:wrapNone/>
          <wp:docPr descr="A blue circle with black background&#10;&#10;AI-generated content may be incorrect." id="1795910457" name="image4.png"/>
          <a:graphic>
            <a:graphicData uri="http://schemas.openxmlformats.org/drawingml/2006/picture">
              <pic:pic>
                <pic:nvPicPr>
                  <pic:cNvPr descr="A blue circle with black background&#10;&#10;AI-generated content may be incorrect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l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CC67C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CC67C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CC67C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CC67C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C67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CC67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CC67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CC67CD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C67CD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CC67CD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CC67CD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CC67CD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CC67C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CC67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CC67C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CC67CD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CC67CD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CC67CD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CC67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C67CD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CC67CD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C67CD"/>
  </w:style>
  <w:style w:type="paragraph" w:styleId="Footer">
    <w:name w:val="footer"/>
    <w:basedOn w:val="Normal"/>
    <w:link w:val="FooterChar"/>
    <w:uiPriority w:val="99"/>
    <w:unhideWhenUsed w:val="1"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C67CD"/>
  </w:style>
  <w:style w:type="character" w:styleId="PlaceholderText">
    <w:name w:val="Placeholder Text"/>
    <w:basedOn w:val="DefaultParagraphFont"/>
    <w:uiPriority w:val="99"/>
    <w:semiHidden w:val="1"/>
    <w:rsid w:val="00CC67CD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CC67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70F0C"/>
    <w:rPr>
      <w:color w:val="605e5c"/>
      <w:shd w:color="auto" w:fill="e1dfdd" w:val="clear"/>
    </w:rPr>
  </w:style>
  <w:style w:type="paragraph" w:styleId="paragraph" w:customStyle="1">
    <w:name w:val="paragraph"/>
    <w:basedOn w:val="Normal"/>
    <w:rsid w:val="0083544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lang w:eastAsia="en-GB" w:val="en-GB"/>
    </w:rPr>
  </w:style>
  <w:style w:type="character" w:styleId="normaltextrun" w:customStyle="1">
    <w:name w:val="normaltextrun"/>
    <w:basedOn w:val="DefaultParagraphFont"/>
    <w:rsid w:val="00835447"/>
  </w:style>
  <w:style w:type="character" w:styleId="eop" w:customStyle="1">
    <w:name w:val="eop"/>
    <w:basedOn w:val="DefaultParagraphFont"/>
    <w:rsid w:val="00835447"/>
  </w:style>
  <w:style w:type="character" w:styleId="scxw120527056" w:customStyle="1">
    <w:name w:val="scxw120527056"/>
    <w:basedOn w:val="DefaultParagraphFont"/>
    <w:rsid w:val="00690CDD"/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8" Type="http://schemas.openxmlformats.org/officeDocument/2006/relationships/hyperlink" Target="https://www.efsa.europa.eu/en/safe2eat/food-supplements" TargetMode="External"/><Relationship Id="rId3" Type="http://schemas.openxmlformats.org/officeDocument/2006/relationships/fontTable" Target="fontTable.xml"/><Relationship Id="rId21" Type="http://schemas.openxmlformats.org/officeDocument/2006/relationships/customXml" Target="../customXML/item4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7" Type="http://schemas.openxmlformats.org/officeDocument/2006/relationships/hyperlink" Target="https://www.efsa.europa.eu/pl/safe2eat/food-supplements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1" Type="http://schemas.openxmlformats.org/officeDocument/2006/relationships/hyperlink" Target="https://www.efsa.europa.eu/pl/safe2eat/food-labels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fsa.europa.eu/pl/safe2eat/food-labels" TargetMode="External"/><Relationship Id="rId19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QFcP2zUWYQIMWqIG4nN4yV4+fQ==">CgMxLjAaMAoBMBIrCikIB0IlChFRdWF0dHJvY2VudG8gU2FucxIQQXJpYWwgVW5pY29kZSBNUxowCgExEisKKQgHQiUKEVF1YXR0cm9jZW50byBTYW5zEhBBcmlhbCBVbmljb2RlIE1TGjAKATISKwopCAdCJQoRUXVhdHRyb2NlbnRvIFNhbnMSEEFyaWFsIFVuaWNvZGUgTVM4AHIhMU1xaHZaa0pmX2NYYTI5RURWOUxDRmEtMFNza1RpYUpl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158B88FB57B44978AA7599716E84E" ma:contentTypeVersion="11" ma:contentTypeDescription="Create a new document." ma:contentTypeScope="" ma:versionID="366c09651c903789a84eb91aacd47746">
  <xsd:schema xmlns:xsd="http://www.w3.org/2001/XMLSchema" xmlns:xs="http://www.w3.org/2001/XMLSchema" xmlns:p="http://schemas.microsoft.com/office/2006/metadata/properties" xmlns:ns2="34b48345-9ac7-4050-93a6-4b531ea34ae8" xmlns:ns3="0528b274-48f2-4258-ae4e-d4f6dfd934b7" targetNamespace="http://schemas.microsoft.com/office/2006/metadata/properties" ma:root="true" ma:fieldsID="42263a51ffe1c1ebdd94a599abcf532d" ns2:_="" ns3:_="">
    <xsd:import namespace="34b48345-9ac7-4050-93a6-4b531ea34ae8"/>
    <xsd:import namespace="0528b274-48f2-4258-ae4e-d4f6dfd93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48345-9ac7-4050-93a6-4b531ea34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8b274-48f2-4258-ae4e-d4f6dfd934b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659b28f-43a5-4999-a84c-74cb0dd55048}" ma:internalName="TaxCatchAll" ma:showField="CatchAllData" ma:web="0528b274-48f2-4258-ae4e-d4f6dfd93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28b274-48f2-4258-ae4e-d4f6dfd934b7" xsi:nil="true"/>
    <lcf76f155ced4ddcb4097134ff3c332f xmlns="34b48345-9ac7-4050-93a6-4b531ea34a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10E085A-67F2-4A1C-B96E-C3799C71ADDD}"/>
</file>

<file path=customXML/itemProps3.xml><?xml version="1.0" encoding="utf-8"?>
<ds:datastoreItem xmlns:ds="http://schemas.openxmlformats.org/officeDocument/2006/customXml" ds:itemID="{DA9A2878-1F84-405D-A43A-34E253BBEDBD}"/>
</file>

<file path=customXML/itemProps4.xml><?xml version="1.0" encoding="utf-8"?>
<ds:datastoreItem xmlns:ds="http://schemas.openxmlformats.org/officeDocument/2006/customXml" ds:itemID="{B585AC1B-AECA-49EA-9352-E74B4DD671B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Wyrębak</dc:creator>
  <dcterms:created xsi:type="dcterms:W3CDTF">2025-04-25T22:11:00Z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0x010100C31158B88FB57B44978AA7599716E84E</vt:lpwstr>
  </property>
  <property fmtid="{D5CDD505-2E9C-101B-9397-08002B2CF9AE}" pid="3" name="MediaServiceImageTags">
    <vt:lpwstr/>
  </property>
  <property fmtid="{D5CDD505-2E9C-101B-9397-08002B2CF9AE}" pid="4" name="GCG_PML_LeadUnit">
    <vt:lpwstr>1;#Com|91be7a05-0945-a784-da6c-191e4d516dea</vt:lpwstr>
  </property>
  <property fmtid="{D5CDD505-2E9C-101B-9397-08002B2CF9AE}" pid="5" name="GCG_PML_Sector">
    <vt:lpwstr>9;#COMMUNICATION|ebc27f1f-b863-4d4d-abe6-ca23350f1598</vt:lpwstr>
  </property>
  <property fmtid="{D5CDD505-2E9C-101B-9397-08002B2CF9AE}" pid="6" name="GCG_PDoc_Hierarchy">
    <vt:lpwstr>12;#02-Implementation|8c557e85-3b5a-4fad-9e4e-5dbb79834368</vt:lpwstr>
  </property>
  <property fmtid="{D5CDD505-2E9C-101B-9397-08002B2CF9AE}" pid="7" name="GCG_PML_NatureOfContract">
    <vt:lpwstr>2;#Time ＆ Material|c684b1da-f893-427f-aa54-5af376496c76</vt:lpwstr>
  </property>
  <property fmtid="{D5CDD505-2E9C-101B-9397-08002B2CF9AE}" pid="8" name="GCG_PML_Country">
    <vt:lpwstr>7;#Belgium|215c9f7d-a693-454f-9b23-42466d4f9576</vt:lpwstr>
  </property>
  <property fmtid="{D5CDD505-2E9C-101B-9397-08002B2CF9AE}" pid="9" name="GCG_PML_Unit">
    <vt:lpwstr>1;#Com|91be7a05-0945-a784-da6c-191e4d516dea</vt:lpwstr>
  </property>
  <property fmtid="{D5CDD505-2E9C-101B-9397-08002B2CF9AE}" pid="10" name="GCG_PML_SDG">
    <vt:lpwstr/>
  </property>
  <property fmtid="{D5CDD505-2E9C-101B-9397-08002B2CF9AE}" pid="11" name="GCG_PML_Beneficiary">
    <vt:lpwstr>11;#EFSA - European Food Safety Authority|65dce739-9741-494e-ad69-b6bf05113814</vt:lpwstr>
  </property>
  <property fmtid="{D5CDD505-2E9C-101B-9397-08002B2CF9AE}" pid="12" name="GCG_PML_TechnicalFields">
    <vt:lpwstr>10;#Communication|e78e3ec7-70bd-4cc0-abad-24308b3e17a7</vt:lpwstr>
  </property>
  <property fmtid="{D5CDD505-2E9C-101B-9397-08002B2CF9AE}" pid="13" name="GCG_PML_ServiceLine">
    <vt:lpwstr/>
  </property>
  <property fmtid="{D5CDD505-2E9C-101B-9397-08002B2CF9AE}" pid="14" name="GCG_PML_Region">
    <vt:lpwstr>3;#Western Europe|8871c1ee-64d1-46cb-811b-140ad92c009f;#4;#Europe ＆ Central Asia|fb72a473-b246-49e0-bcf4-5be0d2c6efcc;#5;#EU Member States|38612e80-6003-4ce7-af68-85c04bce5180;#6;#European Economic Area|943a8c03-5a98-407c-b0cf-a70481c69969</vt:lpwstr>
  </property>
  <property fmtid="{D5CDD505-2E9C-101B-9397-08002B2CF9AE}" pid="15" name="GCG_PML_Financier">
    <vt:lpwstr>8;#EU - European Union|b05e4926-cd10-4aa1-a755-88a1fa9d24c8</vt:lpwstr>
  </property>
</Properties>
</file>