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C6668" w:rsidR="00506395" w:rsidP="00506395" w:rsidRDefault="00506395" w14:paraId="54D1F4A1" w14:textId="1D6431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1C6668" w:rsidR="00506395" w:rsidP="00506395" w:rsidRDefault="00506395" w14:paraId="1EAB9FA2" w14:textId="27D6D7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1C6668" w:rsidR="00506395" w:rsidP="00506395" w:rsidRDefault="00506395" w14:paraId="0834890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1C6668" w:rsidR="00506395" w:rsidP="00506395" w:rsidRDefault="00506395" w14:paraId="469DE4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1C6668" w:rsidR="00C42E9E" w:rsidP="343F2771" w:rsidRDefault="6FEB93A4" w14:paraId="25C100BF" w14:textId="6F89912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sz w:val="32"/>
          <w:szCs w:val="32"/>
        </w:rPr>
      </w:pPr>
      <w:r w:rsidRPr="001C6668">
        <w:rPr>
          <w:rFonts w:ascii="Calibri" w:hAnsi="Calibri"/>
          <w:b/>
          <w:color w:val="22294D"/>
          <w:sz w:val="32"/>
        </w:rPr>
        <w:t>I dalje Safe2Eat u 2026. – smernice zasnovane na nauci za sve Evropljane!</w:t>
      </w:r>
    </w:p>
    <w:p w:rsidRPr="001C6668" w:rsidR="00B34544" w:rsidP="343F2771" w:rsidRDefault="00B34544" w14:paraId="0DE79E2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1F4E79" w:themeColor="accent5" w:themeShade="80"/>
          <w:sz w:val="32"/>
          <w:szCs w:val="32"/>
        </w:rPr>
      </w:pPr>
    </w:p>
    <w:p w:rsidRPr="001C6668" w:rsidR="00B34544" w:rsidP="343F2771" w:rsidRDefault="00B34544" w14:paraId="63DCF334" w14:textId="6C017D8F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eastAsia="Calibri" w:cs="Calibri"/>
          <w:b/>
          <w:bCs/>
          <w:color w:val="22294D"/>
        </w:rPr>
      </w:pPr>
      <w:r w:rsidRPr="001C6668">
        <w:rPr>
          <w:rFonts w:ascii="Calibri" w:hAnsi="Calibri"/>
          <w:b/>
          <w:color w:val="22294D"/>
        </w:rPr>
        <w:t>Evropska agencija za bezbednost hrane (EFSA) i njeni partneri širom Evrope pokreću šestu godinu kampanje Safe2Eat, međunarodne inicijative osmišljene da podigne svest o bezbednosti hrane kod građana i pruži im praktične smernice zasnovane na nauci za donošenje informisanih odluka o izboru hrane.</w:t>
      </w:r>
    </w:p>
    <w:p w:rsidRPr="001C6668" w:rsidR="00B34544" w:rsidP="343F2771" w:rsidRDefault="00B34544" w14:paraId="3B258C38" w14:textId="77777777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Fonts w:ascii="Calibri" w:hAnsi="Calibri" w:eastAsia="Calibri" w:cs="Calibri"/>
          <w:b/>
          <w:bCs/>
        </w:rPr>
      </w:pPr>
    </w:p>
    <w:p w:rsidRPr="001C6668" w:rsidR="00B34544" w:rsidP="343F2771" w:rsidRDefault="00B34544" w14:paraId="2E6AEBF5" w14:textId="77777777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</w:rPr>
      </w:pPr>
      <w:r w:rsidRPr="001C6668">
        <w:rPr>
          <w:rFonts w:ascii="Calibri" w:hAnsi="Calibri"/>
          <w:b/>
          <w:color w:val="22294D"/>
        </w:rPr>
        <w:t>Počev od aprila 2026. godine, kampanja se nadovezuje na dosadašnje uspehe, širi svoj domet i produbljuje angažman kako bi promovisala svest i kritičko promišljanje o bezbednosti hrane, kako unutar Evropske unije, tako i van nje.</w:t>
      </w:r>
    </w:p>
    <w:p w:rsidRPr="001C6668" w:rsidR="00506395" w:rsidP="00F0491C" w:rsidRDefault="00506395" w14:paraId="12144F18" w14:textId="7814DC3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sz w:val="22"/>
          <w:szCs w:val="22"/>
          <w:lang w:eastAsia="en-US"/>
        </w:rPr>
      </w:pPr>
    </w:p>
    <w:p w:rsidRPr="001C6668" w:rsidR="00B34544" w:rsidP="00B34544" w:rsidRDefault="00B34544" w14:paraId="59B29DA8" w14:textId="689E7CEC">
      <w:pPr>
        <w:pStyle w:val="NormalWeb"/>
        <w:rPr>
          <w:rFonts w:ascii="Calibri" w:hAnsi="Calibri" w:eastAsia="Calibri" w:cs="Calibri"/>
        </w:rPr>
      </w:pPr>
      <w:r w:rsidRPr="001C6668">
        <w:rPr>
          <w:rFonts w:ascii="Calibri" w:hAnsi="Calibri"/>
          <w:b/>
        </w:rPr>
        <w:t>Parma, 16. april 2026.</w:t>
      </w:r>
      <w:r w:rsidRPr="001C6668">
        <w:rPr>
          <w:rFonts w:ascii="Calibri" w:hAnsi="Calibri"/>
        </w:rPr>
        <w:t xml:space="preserve"> – Nastavljajući uspeh prethodnih izdanja, agencija EFSA i njeni partneri širom Evrope pokreću šesto izdanje kampanje Safe2Eat. Nadovezujući se na dosadašnja dostignuća, kampanja Safe2Eat 2026 ostaje posvećena osnaživanju građana jasnim, naučno zasnovanim informacijama o bezbednosti hrane, pomažući im da donose informisane odluke o hrani koju svakodnevno jedu.</w:t>
      </w:r>
    </w:p>
    <w:p w:rsidRPr="001C6668" w:rsidR="00B34544" w:rsidP="343F2771" w:rsidRDefault="00B34544" w14:paraId="12BD1FC2" w14:textId="6FD48E9E">
      <w:pPr>
        <w:spacing w:after="100" w:afterAutospacing="1"/>
        <w:ind w:right="0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sz w:val="24"/>
        </w:rPr>
        <w:t xml:space="preserve">Od svog prvog izdanja, u kojem je učestvovalo devet zemalja, kampanja se kontinuirano širila. Izdanje za 2026. godinu sada obuhvata </w:t>
      </w:r>
      <w:r w:rsidRPr="001C6668">
        <w:rPr>
          <w:rFonts w:ascii="Calibri" w:hAnsi="Calibri"/>
          <w:b/>
          <w:sz w:val="24"/>
        </w:rPr>
        <w:t>23 zemlje širom Evrope i van nje</w:t>
      </w:r>
      <w:r w:rsidRPr="001C6668">
        <w:rPr>
          <w:rFonts w:ascii="Calibri" w:hAnsi="Calibri"/>
          <w:sz w:val="24"/>
        </w:rPr>
        <w:t>. Ovo šire učešće pokazuje trajnu relevantnost kampanje u podršci bezbednom i informisanom izboru hrane širom Evrope i van nje.</w:t>
      </w:r>
    </w:p>
    <w:p w:rsidRPr="00171A92" w:rsidR="699191AD" w:rsidP="00171A92" w:rsidRDefault="51A34B0F" w14:paraId="0447BF3E" w14:textId="485F0AC1">
      <w:pPr>
        <w:spacing w:after="100" w:afterAutospacing="1"/>
        <w:ind w:right="0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sz w:val="24"/>
        </w:rPr>
        <w:t>Kampanja okuplja države članice EU – Austriju, Belgiju, Bugarsku, Hrvatsku, Kipar, Češku, Estoniju, Grčku, Mađarsku, Irsku, Letoniju, Luksemburg, Poljsku, Portugal, Rumuniju, Slovačku, Sloveniju i Španiju – kao i partnerske zemlje, uključujući Bosnu i Hercegovinu, Crnu Goru, Severnu Makedoniju, Srbiju i Tursku.</w:t>
      </w:r>
    </w:p>
    <w:p w:rsidRPr="001C6668" w:rsidR="00B34544" w:rsidP="00B34544" w:rsidRDefault="00B34544" w14:paraId="0A70D00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</w:rPr>
      </w:pPr>
      <w:r w:rsidRPr="001C6668">
        <w:rPr>
          <w:rFonts w:ascii="Calibri" w:hAnsi="Calibri"/>
          <w:b/>
          <w:color w:val="22294D"/>
        </w:rPr>
        <w:t>Izdvajamo iz kampanje Safe2Eat 2025: uključivanje građana i oblikovanje stavova</w:t>
      </w:r>
    </w:p>
    <w:p w:rsidRPr="001C6668" w:rsidR="00B34544" w:rsidP="00B34544" w:rsidRDefault="00B34544" w14:paraId="49E93E7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</w:rPr>
      </w:pPr>
    </w:p>
    <w:p w:rsidRPr="001C6668" w:rsidR="00B34544" w:rsidP="343F2771" w:rsidRDefault="00B34544" w14:paraId="24EA166E" w14:textId="085BF92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color w:val="22294D"/>
        </w:rPr>
      </w:pPr>
      <w:r w:rsidRPr="001C6668">
        <w:rPr>
          <w:rFonts w:ascii="Calibri" w:hAnsi="Calibri"/>
          <w:color w:val="22294D"/>
        </w:rPr>
        <w:t>Prema istraživanju IPSOS-a sprovedenom u novembru 2025. godine, peta godina kampanje Safe2Eat postigla je visoku prepoznatljivost i angažman, dosegnuvši 41% građana u zemljama obuhvaćenim istraživanjem. Pored podizanja svesti, kampanja je podstakla razmišljanje i diskusiju. Građani koji su bili izloženi kampanji naveli su da više pažnje posvećuju bezbednosti hrane, da kritičnije promišljaju svoje izbore hrane i da pokazuju veće interesovanje za nauku koja stoji iza bezbedne hrane.</w:t>
      </w:r>
    </w:p>
    <w:p w:rsidRPr="001C6668" w:rsidR="00B34544" w:rsidP="00B34544" w:rsidRDefault="00B34544" w14:paraId="78DBA08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color w:val="22294D"/>
          <w:lang w:eastAsia="en-US"/>
        </w:rPr>
      </w:pPr>
    </w:p>
    <w:p w:rsidRPr="001C6668" w:rsidR="00B34544" w:rsidP="4EE0B7C1" w:rsidRDefault="00B34544" w14:paraId="436B4B09" w14:textId="1BC28952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22294D"/>
        </w:rPr>
      </w:pPr>
      <w:r w:rsidRPr="4EE0B7C1" w:rsidR="00B34544">
        <w:rPr>
          <w:rFonts w:ascii="Calibri" w:hAnsi="Calibri"/>
          <w:color w:val="22294D"/>
        </w:rPr>
        <w:t xml:space="preserve">Kampanja je takođe ojačala poverenje u sistem bezbednosti hrane Evropske unije, pokazujući da jasna komunikacija zasnovana na nauci može </w:t>
      </w:r>
      <w:r w:rsidRPr="4EE0B7C1" w:rsidR="00171A92">
        <w:rPr>
          <w:rFonts w:ascii="Calibri" w:hAnsi="Calibri"/>
          <w:color w:val="22294D"/>
        </w:rPr>
        <w:t>ohrabriti</w:t>
      </w:r>
      <w:r w:rsidRPr="4EE0B7C1" w:rsidR="00B34544">
        <w:rPr>
          <w:rFonts w:ascii="Calibri" w:hAnsi="Calibri"/>
          <w:color w:val="22294D"/>
        </w:rPr>
        <w:t xml:space="preserve"> građane da sa sigurnošću donose odluke o tome šta jedu.</w:t>
      </w:r>
    </w:p>
    <w:p w:rsidRPr="001C6668" w:rsidR="00506395" w:rsidP="051B6C9D" w:rsidRDefault="00506395" w14:paraId="02DD77AB" w14:textId="535086E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</w:rPr>
      </w:pPr>
    </w:p>
    <w:p w:rsidRPr="001C6668" w:rsidR="00B34544" w:rsidP="343F2771" w:rsidRDefault="00B34544" w14:paraId="2E19C4AC" w14:textId="77777777">
      <w:pPr>
        <w:spacing w:before="240" w:after="160" w:line="259" w:lineRule="auto"/>
        <w:ind w:right="0"/>
        <w:rPr>
          <w:rFonts w:ascii="Calibri" w:hAnsi="Calibri" w:eastAsia="Calibri" w:cs="Calibri"/>
          <w:b/>
          <w:bCs/>
          <w:sz w:val="24"/>
          <w:szCs w:val="24"/>
        </w:rPr>
      </w:pPr>
      <w:r w:rsidRPr="001C6668">
        <w:rPr>
          <w:rFonts w:ascii="Calibri" w:hAnsi="Calibri"/>
          <w:b/>
          <w:sz w:val="24"/>
        </w:rPr>
        <w:t>Fokus kampanje za 2026: praktični saveti, uvidi o zdravlju i sigurnost u ono što se nalazi na vašem tanjiru</w:t>
      </w:r>
    </w:p>
    <w:p w:rsidRPr="001C6668" w:rsidR="00B34544" w:rsidP="343F2771" w:rsidRDefault="4572C0F8" w14:paraId="7273DF6E" w14:textId="760BC3AD">
      <w:pPr>
        <w:spacing w:after="160" w:line="259" w:lineRule="auto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sz w:val="24"/>
        </w:rPr>
        <w:t>Kampanja Safe2Eat 2026 fokusira se na tri glavne oblasti:</w:t>
      </w:r>
    </w:p>
    <w:p w:rsidRPr="001C6668" w:rsidR="00B34544" w:rsidP="00B34544" w:rsidRDefault="00B34544" w14:paraId="624F7A84" w14:textId="2E14B14F">
      <w:pPr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b/>
          <w:sz w:val="24"/>
        </w:rPr>
        <w:t>Bezbedne prakse u vezi sa hranom</w:t>
      </w:r>
      <w:r w:rsidRPr="001C6668">
        <w:rPr>
          <w:rFonts w:ascii="Calibri" w:hAnsi="Calibri"/>
          <w:sz w:val="24"/>
        </w:rPr>
        <w:t xml:space="preserve"> – Praktične smernice za čitanje deklaracija, rukovanje hranom, njeno skladištenje i bezbednu pripremu, sve zasnovano na najnovijim naučnim dokazima.</w:t>
      </w:r>
    </w:p>
    <w:p w:rsidRPr="001C6668" w:rsidR="00B34544" w:rsidP="00B34544" w:rsidRDefault="00B34544" w14:paraId="1E1C0806" w14:textId="6163A258">
      <w:pPr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sz w:val="24"/>
          <w:szCs w:val="24"/>
        </w:rPr>
      </w:pPr>
      <w:r w:rsidRPr="4EE0B7C1" w:rsidR="00B34544">
        <w:rPr>
          <w:rFonts w:ascii="Calibri" w:hAnsi="Calibri"/>
          <w:b w:val="1"/>
          <w:bCs w:val="1"/>
          <w:sz w:val="24"/>
          <w:szCs w:val="24"/>
        </w:rPr>
        <w:t>Hrana i vaše zdravlje</w:t>
      </w:r>
      <w:r w:rsidRPr="4EE0B7C1" w:rsidR="00B34544">
        <w:rPr>
          <w:rFonts w:ascii="Calibri" w:hAnsi="Calibri"/>
          <w:sz w:val="24"/>
          <w:szCs w:val="24"/>
        </w:rPr>
        <w:t xml:space="preserve"> – Saveti o uravnoteženoj ishrani, nutritivnim potrebama, zdravstvenim </w:t>
      </w:r>
      <w:r w:rsidRPr="4EE0B7C1" w:rsidR="00171A92">
        <w:rPr>
          <w:rFonts w:ascii="Calibri" w:hAnsi="Calibri"/>
          <w:sz w:val="24"/>
          <w:szCs w:val="24"/>
        </w:rPr>
        <w:t>izjavama</w:t>
      </w:r>
      <w:r w:rsidRPr="4EE0B7C1" w:rsidR="00171A92">
        <w:rPr>
          <w:rFonts w:ascii="Calibri" w:hAnsi="Calibri"/>
          <w:sz w:val="24"/>
          <w:szCs w:val="24"/>
        </w:rPr>
        <w:t xml:space="preserve"> </w:t>
      </w:r>
      <w:r w:rsidRPr="4EE0B7C1" w:rsidR="00B34544">
        <w:rPr>
          <w:rFonts w:ascii="Calibri" w:hAnsi="Calibri"/>
          <w:sz w:val="24"/>
          <w:szCs w:val="24"/>
        </w:rPr>
        <w:t>i nauci koja ih potkrepljuje.</w:t>
      </w:r>
    </w:p>
    <w:p w:rsidRPr="001C6668" w:rsidR="00B34544" w:rsidP="00B34544" w:rsidRDefault="00B34544" w14:paraId="346CA180" w14:textId="77777777">
      <w:pPr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b/>
          <w:sz w:val="24"/>
        </w:rPr>
        <w:t>Šta se nalazi u vašoj hrani</w:t>
      </w:r>
      <w:r w:rsidRPr="001C6668">
        <w:rPr>
          <w:rFonts w:ascii="Calibri" w:hAnsi="Calibri"/>
          <w:sz w:val="24"/>
        </w:rPr>
        <w:t xml:space="preserve"> – Jasne informacije o bezbednosti aditiva, aroma, novih vrsta hrane i označavanju alergena, čime se obezbeđuju transparentnost i poverenje potrošača.</w:t>
      </w:r>
    </w:p>
    <w:p w:rsidRPr="001C6668" w:rsidR="0A67A5A3" w:rsidP="0A67A5A3" w:rsidRDefault="0A67A5A3" w14:paraId="422B7325" w14:textId="4889375B">
      <w:pPr>
        <w:spacing w:after="160" w:line="259" w:lineRule="auto"/>
        <w:rPr>
          <w:rFonts w:ascii="Calibri" w:hAnsi="Calibri" w:eastAsia="Calibri" w:cs="Calibri"/>
          <w:sz w:val="24"/>
          <w:szCs w:val="24"/>
        </w:rPr>
      </w:pPr>
    </w:p>
    <w:p w:rsidRPr="001C6668" w:rsidR="00082911" w:rsidP="00B34544" w:rsidRDefault="00082911" w14:paraId="5FBD0465" w14:textId="7680AAA9">
      <w:pPr>
        <w:spacing w:before="240" w:after="160" w:line="259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4EE0B7C1" w:rsidR="00082911">
        <w:rPr>
          <w:rFonts w:ascii="Calibri" w:hAnsi="Calibri"/>
          <w:b w:val="1"/>
          <w:bCs w:val="1"/>
          <w:sz w:val="24"/>
          <w:szCs w:val="24"/>
        </w:rPr>
        <w:t xml:space="preserve">Posvećenost agencije EFSA: osnaživanje </w:t>
      </w:r>
      <w:r w:rsidRPr="4EE0B7C1" w:rsidR="00082911">
        <w:rPr>
          <w:rFonts w:ascii="Calibri" w:hAnsi="Calibri"/>
          <w:b w:val="1"/>
          <w:bCs w:val="1"/>
          <w:sz w:val="24"/>
          <w:szCs w:val="24"/>
        </w:rPr>
        <w:t>izbora</w:t>
      </w:r>
      <w:r w:rsidRPr="4EE0B7C1" w:rsidR="00171A92">
        <w:rPr>
          <w:rFonts w:ascii="Calibri" w:hAnsi="Calibri"/>
          <w:b w:val="1"/>
          <w:bCs w:val="1"/>
          <w:sz w:val="24"/>
          <w:szCs w:val="24"/>
        </w:rPr>
        <w:t xml:space="preserve"> zasnovanih</w:t>
      </w:r>
      <w:r w:rsidRPr="4EE0B7C1" w:rsidR="00171A92">
        <w:rPr>
          <w:rFonts w:ascii="Calibri" w:hAnsi="Calibri"/>
          <w:b w:val="1"/>
          <w:bCs w:val="1"/>
          <w:sz w:val="24"/>
          <w:szCs w:val="24"/>
        </w:rPr>
        <w:t xml:space="preserve"> na informisanju</w:t>
      </w:r>
    </w:p>
    <w:p w:rsidRPr="001C6668" w:rsidR="00DE1CD0" w:rsidP="699191AD" w:rsidRDefault="4572C0F8" w14:paraId="19685476" w14:textId="347A601B">
      <w:pPr>
        <w:spacing w:after="160" w:line="259" w:lineRule="auto"/>
        <w:rPr>
          <w:rFonts w:ascii="Calibri" w:hAnsi="Calibri" w:eastAsia="Calibri" w:cs="Calibri"/>
          <w:i/>
          <w:iCs/>
          <w:sz w:val="24"/>
          <w:szCs w:val="24"/>
        </w:rPr>
      </w:pPr>
      <w:r w:rsidRPr="001C6668">
        <w:rPr>
          <w:rFonts w:ascii="Calibri" w:hAnsi="Calibri"/>
          <w:b/>
          <w:sz w:val="24"/>
        </w:rPr>
        <w:t>Nikolaus Kriz, izvršni direktor Evropske agencije za bezbednost hrane (EFSA)</w:t>
      </w:r>
      <w:r w:rsidRPr="001C6668">
        <w:rPr>
          <w:rFonts w:ascii="Calibri" w:hAnsi="Calibri"/>
          <w:sz w:val="24"/>
        </w:rPr>
        <w:t xml:space="preserve">, izjavio je: </w:t>
      </w:r>
      <w:r w:rsidRPr="001C6668">
        <w:t>„</w:t>
      </w:r>
      <w:r w:rsidRPr="001C6668">
        <w:rPr>
          <w:rFonts w:ascii="Calibri" w:hAnsi="Calibri"/>
          <w:i/>
          <w:sz w:val="24"/>
        </w:rPr>
        <w:t>Ljudi svakoga dana donose odluke o tome šta će jesti i zaslužuju da se osećaju bezbedno i informisano. Safe2Eat 2026 pretvara složena naučna saznanja u praktične, lako primenljive savete o rukovanju hranom, njenoj pripremi i razumevanju onoga što se nalazi u njoj, od aditiva i aroma do novih sastojaka i alergena. Pružajući smernice koje ljudi mogu primeniti kod kuće ili u svakodnevnom životu, kampanja podstiče kritičko promišljanje, osnažuje građane i jača poverenje u sistem bezbednosti hrane EU zasnovan na nauci, pomažući svima da donose bezbedne i informisane odluke.”</w:t>
      </w:r>
    </w:p>
    <w:p w:rsidRPr="001C6668" w:rsidR="00BC5CD7" w:rsidP="00DE1CD0" w:rsidRDefault="00BC5CD7" w14:paraId="16ED5F47" w14:textId="08289EFF">
      <w:pPr>
        <w:spacing w:after="160" w:line="259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1C6668">
        <w:rPr>
          <w:rFonts w:ascii="Calibri" w:hAnsi="Calibri"/>
          <w:b/>
          <w:sz w:val="24"/>
        </w:rPr>
        <w:t>Uključite se</w:t>
      </w:r>
    </w:p>
    <w:p w:rsidRPr="001C6668" w:rsidR="00BC5CD7" w:rsidP="051B6C9D" w:rsidRDefault="0002430D" w14:paraId="2B6CD4E0" w14:textId="46CA0482">
      <w:pPr>
        <w:spacing w:after="160" w:line="259" w:lineRule="auto"/>
        <w:rPr>
          <w:rFonts w:ascii="Calibri" w:hAnsi="Calibri" w:eastAsia="Calibri" w:cs="Calibri"/>
          <w:sz w:val="24"/>
          <w:szCs w:val="24"/>
        </w:rPr>
      </w:pPr>
      <w:r w:rsidRPr="001C6668">
        <w:rPr>
          <w:rFonts w:ascii="Calibri" w:hAnsi="Calibri"/>
          <w:sz w:val="24"/>
        </w:rPr>
        <w:t xml:space="preserve">Tokom godine sprovodiće se širok spektar aktivnosti kampanje Safe2Eat, kako na nivou Evropske unije tako i na nacionalnom nivou. Potrošači se podstiču da posete zvaničnu </w:t>
      </w:r>
      <w:hyperlink r:id="rId11">
        <w:r w:rsidRPr="001C6668">
          <w:rPr>
            <w:rStyle w:val="Hyperlink"/>
            <w:rFonts w:ascii="Calibri" w:hAnsi="Calibri"/>
            <w:sz w:val="24"/>
          </w:rPr>
          <w:t>veb-stranicu kampanje</w:t>
        </w:r>
      </w:hyperlink>
      <w:r w:rsidRPr="001C6668">
        <w:rPr>
          <w:rFonts w:ascii="Calibri" w:hAnsi="Calibri"/>
          <w:sz w:val="24"/>
        </w:rPr>
        <w:t>, istraže edukativne materijale i uključe se u sadržaje kampanje na društvenim mrežama koristeći hešteg #Safe2EatEU.</w:t>
      </w:r>
    </w:p>
    <w:p w:rsidRPr="001C6668" w:rsidR="051B6C9D" w:rsidP="051B6C9D" w:rsidRDefault="051B6C9D" w14:paraId="796D7274" w14:textId="76BBB870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eastAsia="Calibri" w:cs="Calibri"/>
          <w:b/>
          <w:bCs/>
          <w:color w:val="1F4E79" w:themeColor="accent5" w:themeShade="80"/>
        </w:rPr>
      </w:pPr>
    </w:p>
    <w:p w:rsidRPr="001C6668" w:rsidR="00506395" w:rsidP="00D65160" w:rsidRDefault="00506395" w14:paraId="05449D10" w14:textId="6F6D0F05">
      <w:pPr>
        <w:spacing w:after="160" w:line="259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1C6668">
        <w:rPr>
          <w:rFonts w:ascii="Calibri" w:hAnsi="Calibri"/>
          <w:b/>
          <w:sz w:val="24"/>
        </w:rPr>
        <w:t>O agenciji EFSA</w:t>
      </w:r>
    </w:p>
    <w:p w:rsidRPr="001C6668" w:rsidR="00506395" w:rsidP="4EE0B7C1" w:rsidRDefault="00506395" w14:paraId="1A2C63E6" w14:textId="6E76A1A2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</w:rPr>
      </w:pPr>
      <w:r w:rsidRPr="4EE0B7C1" w:rsidR="00506395">
        <w:rPr>
          <w:rFonts w:ascii="Calibri" w:hAnsi="Calibri"/>
          <w:color w:val="22294D"/>
        </w:rPr>
        <w:t xml:space="preserve">Evropska agencija za bezbednost hrane (EFSA) je agencija Evropske unije osnovana 2002. godine da deluje kao nepristrasan izvor naučnih saveta za subjekte nadležne za upravljanje rizikom i da komunicira o rizicima povezanim sa lancem </w:t>
      </w:r>
      <w:bookmarkStart w:name="_GoBack" w:id="6"/>
      <w:bookmarkEnd w:id="6"/>
      <w:r w:rsidRPr="4EE0B7C1" w:rsidR="00506395">
        <w:rPr>
          <w:rFonts w:ascii="Calibri" w:hAnsi="Calibri"/>
          <w:color w:val="22294D"/>
        </w:rPr>
        <w:t>hrane.Ona obezbeđuje naučnu osnovu za zakone i propise kojima se štite evropski potrošači od rizika povezanih sa hranom i sarađuje sa nacionalnim partnerima u cilju unapređenja usklađenosti javnog informisanja o bezbednosti hrane u Evropskoj uniji.</w:t>
      </w:r>
    </w:p>
    <w:p w:rsidRPr="001C6668" w:rsidR="00506395" w:rsidP="051B6C9D" w:rsidRDefault="00506395" w14:paraId="3401200C" w14:textId="45E61C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</w:rPr>
      </w:pPr>
    </w:p>
    <w:p w:rsidRPr="001C6668" w:rsidR="00506395" w:rsidP="00D65160" w:rsidRDefault="00506395" w14:paraId="40D69AAD" w14:textId="27E77F1B">
      <w:pPr>
        <w:spacing w:after="160" w:line="259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1C6668">
        <w:rPr>
          <w:rFonts w:ascii="Calibri" w:hAnsi="Calibri"/>
          <w:b/>
          <w:sz w:val="24"/>
        </w:rPr>
        <w:lastRenderedPageBreak/>
        <w:t>Kontakt</w:t>
      </w:r>
    </w:p>
    <w:p w:rsidRPr="001C6668" w:rsidR="00506395" w:rsidP="10E1006B" w:rsidRDefault="00506395" w14:paraId="2286370E" w14:textId="6C183029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22294D"/>
        </w:rPr>
      </w:pPr>
      <w:r w:rsidRPr="001C6668">
        <w:rPr>
          <w:rFonts w:ascii="Calibri" w:hAnsi="Calibri"/>
          <w:color w:val="22294D"/>
        </w:rPr>
        <w:t xml:space="preserve">Za upite medija, kontaktirajte </w:t>
      </w:r>
      <w:hyperlink w:history="1" r:id="rId12">
        <w:r w:rsidRPr="001C6668">
          <w:rPr>
            <w:rStyle w:val="normaltextrun"/>
            <w:rFonts w:ascii="Calibri" w:hAnsi="Calibri"/>
            <w:color w:val="1155CC"/>
            <w:u w:val="single"/>
            <w:shd w:val="clear" w:color="auto" w:fill="FFFFFF"/>
          </w:rPr>
          <w:t>Press@efsa.europa.eu</w:t>
        </w:r>
      </w:hyperlink>
      <w:r w:rsidRPr="001C6668">
        <w:rPr>
          <w:rStyle w:val="normaltextrun"/>
          <w:rFonts w:ascii="Calibri" w:hAnsi="Calibri"/>
          <w:color w:val="1F1F1F"/>
          <w:shd w:val="clear" w:color="auto" w:fill="FFFFFF"/>
        </w:rPr>
        <w:t xml:space="preserve"> </w:t>
      </w:r>
      <w:r w:rsidRPr="001C6668">
        <w:rPr>
          <w:rFonts w:ascii="Calibri" w:hAnsi="Calibri"/>
          <w:color w:val="22294D"/>
        </w:rPr>
        <w:t xml:space="preserve">ili nas pozovite na broj telefona </w:t>
      </w:r>
      <w:r w:rsidRPr="001C6668">
        <w:rPr>
          <w:rFonts w:ascii="Calibri" w:hAnsi="Calibri"/>
          <w:color w:val="22294D"/>
          <w:lang w:eastAsia="en-US"/>
        </w:rPr>
        <w:t>+39 0521 036 149</w:t>
      </w:r>
    </w:p>
    <w:p w:rsidRPr="001C6668" w:rsidR="00795E02" w:rsidP="3601F0B9" w:rsidRDefault="00795E02" w14:paraId="4098CB10" w14:textId="1A214D30">
      <w:pPr>
        <w:spacing w:after="0"/>
        <w:rPr>
          <w:rFonts w:ascii="Calibri" w:hAnsi="Calibri" w:eastAsia="Calibri" w:cs="Calibri"/>
          <w:sz w:val="18"/>
          <w:szCs w:val="18"/>
        </w:rPr>
      </w:pPr>
    </w:p>
    <w:sectPr w:rsidRPr="001C6668" w:rsidR="00795E02" w:rsidSect="00FB1E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1C6668" w:rsidR="006526EC" w:rsidP="005B3B3E" w:rsidRDefault="006526EC" w14:paraId="3B59F6B2" w14:textId="77777777">
      <w:r w:rsidRPr="001C6668">
        <w:separator/>
      </w:r>
    </w:p>
  </w:endnote>
  <w:endnote w:type="continuationSeparator" w:id="0">
    <w:p w:rsidRPr="001C6668" w:rsidR="006526EC" w:rsidP="005B3B3E" w:rsidRDefault="006526EC" w14:paraId="65831051" w14:textId="77777777">
      <w:r w:rsidRPr="001C6668">
        <w:continuationSeparator/>
      </w:r>
    </w:p>
  </w:endnote>
  <w:endnote w:type="continuationNotice" w:id="1">
    <w:p w:rsidRPr="001C6668" w:rsidR="006526EC" w:rsidRDefault="006526EC" w14:paraId="12533A24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C6668" w:rsidR="001E0BCD" w:rsidRDefault="001E0BCD" w14:paraId="00EE9D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Pr="001C6668" w:rsidR="00246A65" w14:paraId="17312F4D" w14:textId="77777777">
      <w:tc>
        <w:tcPr>
          <w:tcW w:w="8505" w:type="dxa"/>
        </w:tcPr>
        <w:p w:rsidRPr="001C6668" w:rsidR="00246A65" w:rsidP="00246A65" w:rsidRDefault="00246A65" w14:paraId="4C594176" w14:textId="77777777">
          <w:pPr>
            <w:pStyle w:val="Footer"/>
          </w:pPr>
        </w:p>
      </w:tc>
    </w:tr>
  </w:tbl>
  <w:p w:rsidRPr="001C6668" w:rsidR="00246A65" w:rsidP="00246A65" w:rsidRDefault="00246A65" w14:paraId="54F051DF" w14:textId="77777777">
    <w:pPr>
      <w:pStyle w:val="Footer"/>
    </w:pPr>
  </w:p>
  <w:p w:rsidRPr="001C6668" w:rsidR="00246A65" w:rsidP="00246A65" w:rsidRDefault="00246A65" w14:paraId="2281BAFE" w14:textId="77777777">
    <w:pPr>
      <w:pStyle w:val="Footer"/>
    </w:pPr>
  </w:p>
  <w:p w:rsidRPr="001C6668" w:rsidR="00246A65" w:rsidRDefault="00246A65" w14:paraId="65EF7A1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Pr="001C6668" w:rsidR="00246A65" w:rsidTr="00246A65" w14:paraId="50EE72E8" w14:textId="77777777">
      <w:tc>
        <w:tcPr>
          <w:tcW w:w="8505" w:type="dxa"/>
        </w:tcPr>
        <w:p w:rsidRPr="001C6668" w:rsidR="00246A65" w:rsidP="00EA7E45" w:rsidRDefault="00246A65" w14:paraId="31241961" w14:textId="77777777">
          <w:pPr>
            <w:pStyle w:val="Footer"/>
          </w:pPr>
        </w:p>
      </w:tc>
    </w:tr>
  </w:tbl>
  <w:p w:rsidRPr="001C6668" w:rsidR="00EA7E45" w:rsidP="00EA7E45" w:rsidRDefault="00EA7E45" w14:paraId="66BB11DC" w14:textId="77777777">
    <w:pPr>
      <w:pStyle w:val="Footer"/>
    </w:pPr>
  </w:p>
  <w:p w:rsidRPr="001C6668" w:rsidR="00EA7E45" w:rsidP="00EA7E45" w:rsidRDefault="00EA7E45" w14:paraId="31A90E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1C6668" w:rsidR="006526EC" w:rsidP="005B3B3E" w:rsidRDefault="006526EC" w14:paraId="6A4D3479" w14:textId="77777777">
      <w:r w:rsidRPr="001C6668">
        <w:separator/>
      </w:r>
    </w:p>
  </w:footnote>
  <w:footnote w:type="continuationSeparator" w:id="0">
    <w:p w:rsidRPr="001C6668" w:rsidR="006526EC" w:rsidP="005B3B3E" w:rsidRDefault="006526EC" w14:paraId="55E34AE7" w14:textId="77777777">
      <w:r w:rsidRPr="001C6668">
        <w:continuationSeparator/>
      </w:r>
    </w:p>
  </w:footnote>
  <w:footnote w:type="continuationNotice" w:id="1">
    <w:p w:rsidRPr="001C6668" w:rsidR="006526EC" w:rsidRDefault="006526EC" w14:paraId="7B9C0876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C6668" w:rsidR="001E0BCD" w:rsidRDefault="001E0BCD" w14:paraId="3E99A1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1C6668" w:rsidR="00EA7E45" w:rsidP="00EA7E45" w:rsidRDefault="00246A65" w14:paraId="11C809B9" w14:textId="76FC9518">
    <w:pPr>
      <w:pStyle w:val="Header"/>
      <w:jc w:val="right"/>
    </w:pPr>
    <w:r w:rsidRPr="001C666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7EB2BEC8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C6668" w:rsidR="001E0BCD" w:rsidP="001E0BCD" w:rsidRDefault="001E0BCD" w14:paraId="58079886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35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1857C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e1mQIAAI8FAAAOAAAAZHJzL2Uyb0RvYy54bWysVF1P2zAUfZ+0/2D5fSTpKB8VKapATJMQ&#10;IGDi2XXsJpLj69luk+7X79pOUmBoD9P64Nq+536dnOuLy75VZCesa0CXtDjKKRGaQ9XoTUl/PN98&#10;OaPEeaYrpkCLku6Fo5fLz58uOrMQM6hBVcISDKLdojMlrb03iyxzvBYtc0dghEajBNsyj0e7ySrL&#10;OozeqmyW5ydZB7YyFrhwDm+vk5EuY3wpBff3UjrhiSop1ubjauO6Dmu2vGCLjWWmbvhQBvuHKlrW&#10;aEw6hbpmnpGtbf4I1TbcggPpjzi0GUjZcBF7wG6K/F03TzUzIvaC5Dgz0eT+X1h+t3uwpKlK+nVO&#10;iWYtfqNHZI3pjRIE75CgzrgF4p7Mgx1ODreh217aNvxjH6SPpO4nUkXvCcfL87yYzwpKOJpOT86O&#10;I+fZwddY578JaEnYlNRi8sgk2906j/kQOkJCKgeqqW4apeIhyERcKUt2DD/welOEetHjDUrpgNUQ&#10;vJI53GShrdRI3Pm9EgGn9KOQyAiWPouFRC0ekjDOhfZFMtWsEin3PMffmH0sK9YSA4bIEvNPsYcA&#10;IzIFGWOnKgd8cBVRypNz/rfCkvPkETOD9pNz22iwHwVQ2NWQOeFHkhI1gSXfr3uEhO0aqj1Kx0Ka&#10;KWf4TYNf8JY5/8AsDhGOGz4M/h4XqaArKQw7Smqwvz66D3jUNlop6XAoS+p+bpkVlKjvGlV/Xhyj&#10;foiPh+P56QwP9rVl/dqit+0VoCxQfFhd3Aa8V+NWWmhf8P1YhaxoYppj7pJyb8fDlU+PBb5AXKxW&#10;EYaTa5i/1U+Gh+CB4KDQ5/6FWTPI2KP872AcYLZ4p+aEDZ4aVlsPsolSP/A6UI9THzU0vFDhWXl9&#10;jqjDO7r8DQAA//8DAFBLAwQUAAYACAAAACEAnKUZZtwAAAAFAQAADwAAAGRycy9kb3ducmV2Lnht&#10;bEyOzU7DMBCE70i8g7VIXFDrUJeCQjYVICFx4dBSIY5ussRW43UUu0nK0+Oe4Dg/mvmK9eRaMVAf&#10;rGeE23kGgrjyteUGYffxOnsAEaLmWreeCeFEAdbl5UWh89qPvKFhGxuRRjjkGsHE2OVShsqQ02Hu&#10;O+KUffve6Zhk38i612Mad61cZNlKOm05PRjd0Yuh6rA9OoT3k1Jvw406jDurGvsjv54/jUe8vpqe&#10;HkFEmuJfGc74CR3KxLT3R66DaBFU6iHM7u5BnNPlIhl7hNUSZFnI//TlLwAAAP//AwBQSwECLQAU&#10;AAYACAAAACEAtoM4kv4AAADhAQAAEwAAAAAAAAAAAAAAAAAAAAAAW0NvbnRlbnRfVHlwZXNdLnht&#10;bFBLAQItABQABgAIAAAAIQA4/SH/1gAAAJQBAAALAAAAAAAAAAAAAAAAAC8BAABfcmVscy8ucmVs&#10;c1BLAQItABQABgAIAAAAIQAM5Be1mQIAAI8FAAAOAAAAAAAAAAAAAAAAAC4CAABkcnMvZTJvRG9j&#10;LnhtbFBLAQItABQABgAIAAAAIQCcpRlm3AAAAAUBAAAPAAAAAAAAAAAAAAAAAPMEAABkcnMvZG93&#10;bnJldi54bWxQSwUGAAAAAAQABADzAAAA/AUAAAAA&#10;">
              <v:textbox>
                <w:txbxContent>
                  <w:p w:rsidRPr="001C6668" w:rsidR="001E0BCD" w:rsidP="001E0BCD" w:rsidRDefault="001E0BCD" w14:paraId="58079886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6668"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66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C6668" w:rsidR="00795E02" w:rsidP="00795E02" w:rsidRDefault="00795E02" w14:paraId="2829897D" w14:textId="77777777">
                          <w:pPr>
                            <w:pStyle w:val="Heading4"/>
                          </w:pPr>
                        </w:p>
                        <w:p w:rsidRPr="001C6668" w:rsidR="00795E02" w:rsidP="00795E02" w:rsidRDefault="00795E02" w14:paraId="5C8C5574" w14:textId="77777777">
                          <w:pPr>
                            <w:pStyle w:val="Heading4"/>
                          </w:pPr>
                        </w:p>
                        <w:p w:rsidRPr="001C6668" w:rsidR="00795E02" w:rsidP="00795E02" w:rsidRDefault="00795E02" w14:paraId="0EB72334" w14:textId="77777777">
                          <w:pPr>
                            <w:pStyle w:val="Heading3"/>
                          </w:pPr>
                        </w:p>
                        <w:p w:rsidRPr="001C6668" w:rsidR="00795E02" w:rsidP="00795E02" w:rsidRDefault="00795E02" w14:paraId="22CE3020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4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787878" stroked="f" strokeweight="1pt" w14:anchorId="4B7B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yXoAIAAJoFAAAOAAAAZHJzL2Uyb0RvYy54bWysVN9P2zAQfp+0/8Hy+0jbtZRVpKgCMU1C&#10;gICJZ9dxmkiOz7PdJt1fvzs7CYyhPUxrJcf2fffdD9/d+UXXaHZQztdgcj49mXCmjISiNrucf3+6&#10;/nTGmQ/CFEKDUTk/Ks8v1h8/nLd2pWZQgS6UY0hi/Kq1Oa9CsKss87JSjfAnYJVBYQmuEQGPbpcV&#10;TrTI3uhsNpmcZi24wjqQynu8vUpCvo78ZalkuCtLrwLTOUffQlxdXLe0Zutzsdo5Yata9m6If/Ci&#10;EbVBoyPVlQiC7V39B1VTSwceynAiocmgLGupYgwYzXTyJprHSlgVY8HkeDumyf8/Wnl7uHesLvDt&#10;5pwZ0eAbPWDWhNlpxfAOE9Rav0Lco713/cnjlqLtStfQF+NgXUzqcUyq6gKTeLlcLJfzxYIzibLp&#10;7PPidHlKrNmLunU+fFXQMNrk3KH9mExxuPEhQQcIWfOg6+K61joe3G57qR07CHzh5Rn9e/bfYNoQ&#10;2ACpJUa6ySi0FEzchaNWhNPmQZWYFXR/Fj2J9ahGO0JKZcI0iSpRqGR+McHfYJ0qmDRipJGQmEu0&#10;P3L3BAMykQzcycseT6oqlvOoPPmbY0l51IiWwYRRuakNuPcINEbVW074IUkpNZSl0G27VDGEpJst&#10;FEesIgepvbyV1zW+5I3w4V447CfsPJwR4Q6XUkObc+h3nFXgfr53T3gsc5Ry1mJ/5tz/2AunONPf&#10;DDbAl+l8Tg0dD/PFcoYH91qyfS0x++YSsECmOI2sjFvCBz1sSwfNM46SDVlFkTASbedcBjccLkOa&#10;GziMpNpsIgyb2IpwYx6tJHLKM1XqU/csnO3LOWAn3MLQy2L1pqoTljQNbPYByjqW/Ete+xfAARBL&#10;qR9WNGFenyPqZaSufwEAAP//AwBQSwMEFAAGAAgAAAAhAELCA1biAAAADQEAAA8AAABkcnMvZG93&#10;bnJldi54bWxMj8FOwzAQRO9I/IO1SNxaO6kIIcSpUKCXqlJFC/dt4iYR8TrEbhv+nu0JbjPa0eyb&#10;fDnZXpzN6DtHGqK5AmGocnVHjYaP/WqWgvABqcbekdHwYzwsi9ubHLPaXejdnHehEVxCPkMNbQhD&#10;JqWvWmPRz91giG9HN1oMbMdG1iNeuNz2MlYqkRY74g8tDqZsTfW1O1kNuP1ev6UPr3tfPi3WK/zc&#10;HDdlqvX93fTyDCKYKfyF4YrP6FAw08GdqPai1zCLHmMeE1glaQLiGlFxtABxYBUnCmSRy/8ril8A&#10;AAD//wMAUEsBAi0AFAAGAAgAAAAhALaDOJL+AAAA4QEAABMAAAAAAAAAAAAAAAAAAAAAAFtDb250&#10;ZW50X1R5cGVzXS54bWxQSwECLQAUAAYACAAAACEAOP0h/9YAAACUAQAACwAAAAAAAAAAAAAAAAAv&#10;AQAAX3JlbHMvLnJlbHNQSwECLQAUAAYACAAAACEAilisl6ACAACaBQAADgAAAAAAAAAAAAAAAAAu&#10;AgAAZHJzL2Uyb0RvYy54bWxQSwECLQAUAAYACAAAACEAQsIDVuIAAAANAQAADwAAAAAAAAAAAAAA&#10;AAD6BAAAZHJzL2Rvd25yZXYueG1sUEsFBgAAAAAEAAQA8wAAAAkGAAAAAA==&#10;">
              <v:textbox>
                <w:txbxContent>
                  <w:p w:rsidRPr="001C6668" w:rsidR="00795E02" w:rsidP="00795E02" w:rsidRDefault="00795E02" w14:paraId="2829897D" w14:textId="77777777">
                    <w:pPr>
                      <w:pStyle w:val="Heading4"/>
                    </w:pPr>
                  </w:p>
                  <w:p w:rsidRPr="001C6668" w:rsidR="00795E02" w:rsidP="00795E02" w:rsidRDefault="00795E02" w14:paraId="5C8C5574" w14:textId="77777777">
                    <w:pPr>
                      <w:pStyle w:val="Heading4"/>
                    </w:pPr>
                  </w:p>
                  <w:p w:rsidRPr="001C6668" w:rsidR="00795E02" w:rsidP="00795E02" w:rsidRDefault="00795E02" w14:paraId="0EB72334" w14:textId="77777777">
                    <w:pPr>
                      <w:pStyle w:val="Heading3"/>
                    </w:pPr>
                  </w:p>
                  <w:p w:rsidRPr="001C6668" w:rsidR="00795E02" w:rsidP="00795E02" w:rsidRDefault="00795E02" w14:paraId="22CE3020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1C6668" w:rsidR="00795E02" w:rsidP="00795E02" w:rsidRDefault="00795E02" w14:paraId="4229B175" w14:textId="6D2D10CD">
    <w:pPr>
      <w:pStyle w:val="Heading4"/>
    </w:pPr>
    <w:r w:rsidRPr="001C6668">
      <w:t>SAOPŠTENJE ZA MEDIJE</w:t>
    </w:r>
  </w:p>
  <w:p w:rsidRPr="001C6668" w:rsidR="00EA7E45" w:rsidP="00795E02" w:rsidRDefault="006526EC" w14:paraId="5489B8A2" w14:textId="52F0B1D4">
    <w:pPr>
      <w:pStyle w:val="Heading4"/>
    </w:pPr>
    <w:sdt>
      <w:sdtPr>
        <w:alias w:val="Naziv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1C6668" w:rsidR="00506395">
          <w:t>SAFE2EAT</w:t>
        </w:r>
      </w:sdtContent>
    </w:sdt>
  </w:p>
  <w:p w:rsidRPr="001C6668" w:rsidR="00246A65" w:rsidP="00246A65" w:rsidRDefault="00246A65" w14:paraId="427D049B" w14:textId="7777777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1C6668" w:rsidR="00EA7E45" w:rsidP="00EA7E45" w:rsidRDefault="000F09FC" w14:paraId="36B43D99" w14:textId="77777777">
    <w:pPr>
      <w:pStyle w:val="Header"/>
    </w:pPr>
    <w:r w:rsidRPr="001C6668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668">
      <w:rPr>
        <w:noProof/>
        <w:lang w:val="en-US"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66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C6668" w:rsidR="0059261D" w:rsidP="0059261D" w:rsidRDefault="00506395" w14:paraId="5CEBCE9C" w14:textId="4A4F2FD8">
                          <w:pPr>
                            <w:pStyle w:val="Heading4"/>
                          </w:pPr>
                          <w:r w:rsidRPr="001C6668">
                            <w:t xml:space="preserve">SAOPŠTENJE ZA MEDIJE </w:t>
                          </w:r>
                        </w:p>
                        <w:p w:rsidRPr="001C6668" w:rsidR="009E6BA4" w:rsidP="009E6BA4" w:rsidRDefault="009E6BA4" w14:paraId="304A67FE" w14:textId="77777777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C6668">
                            <w:rPr>
                              <w:color w:val="FFFFFF" w:themeColor="background1"/>
                              <w:sz w:val="24"/>
                            </w:rPr>
                            <w:t>Za hitno objavljivanje</w:t>
                          </w:r>
                        </w:p>
                        <w:p w:rsidRPr="001C6668" w:rsidR="009E6BA4" w:rsidP="009E6BA4" w:rsidRDefault="009E6BA4" w14:paraId="6386E69C" w14:textId="77777777"/>
                        <w:p w:rsidRPr="001C6668" w:rsidR="0059261D" w:rsidP="0059261D" w:rsidRDefault="0094370A" w14:paraId="5D621993" w14:textId="699DE643">
                          <w:pPr>
                            <w:pStyle w:val="Heading3"/>
                          </w:pPr>
                          <w:r w:rsidRPr="001C6668">
                            <w:t>SAFE2EAT</w:t>
                          </w:r>
                        </w:p>
                        <w:p w:rsidRPr="001C6668" w:rsidR="00506395" w:rsidP="00506395" w:rsidRDefault="00506395" w14:paraId="5D1E3958" w14:textId="77777777"/>
                        <w:p w:rsidRPr="001C6668" w:rsidR="00506395" w:rsidP="00506395" w:rsidRDefault="00506395" w14:paraId="4581B477" w14:textId="5DB4FD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344E7AD9">
              <v:stroke joinstyle="miter"/>
              <v:path gradientshapeok="t" o:connecttype="rect"/>
            </v:shapetype>
            <v:shape id="Zone de texte 136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wDOQIAAGIEAAAOAAAAZHJzL2Uyb0RvYy54bWysVF9v2jAQf5+072D5fYRAYDQiVKwV06Sq&#10;rUSnSnszjkMi2T7PNiTs0+/sEIq6PU17MRff+Xy/P2Z52ylJjsK6BnRB09GYEqE5lI3eF/T7y+bT&#10;ghLnmS6ZBC0KehKO3q4+fli2JhcTqEGWwhJsol3emoLW3ps8SRyvhWJuBEZoTFZgFfP4afdJaVmL&#10;3ZVMJuPxPGnBlsYCF87h7n2fpKvYv6oE909V5YQnsqA4m4+rjesurMlqyfK9ZaZu+HkM9g9TKNZo&#10;vPTS6p55Rg62+aOVargFB5UfcVAJVFXDRcSAaNLxOzTbmhkRsSA5zlxocv+vLX88PlvSlKjddE6J&#10;ZgpF+oFSkVIQLzovSEggTa1xOVZvDdb77gt0eGTYd7gZ0HeVVeEXcRHMI+GnC8nYi3DczGaTRbqY&#10;UcIxl86ybDqJMiRvx411/qsARUJQUIsqRnLZ8cF5HAVLh5Jwm4ZNI2VUUmrSFnQ+nY3jgUsGT0iN&#10;BwOIftgQ+W7XReyTAcgOyhPis9AbxRm+aXCGB+b8M7PoDISEbvdPuFQS8C44R5TUYH/9bT/Uo2CY&#10;paRFpxXU/TwwKyiR3zRKeZNmWbBm/Mhmn5EOYq8zu+uMPqg7QDOn+K4Mj2Go93IIKwvqFR/FOtyK&#10;KaY53l1QP4R3vvc/Piou1utYhGY0zD/oreGhdWA1MPzSvTJrzjIENzzC4EmWv1Ojr+31WB88VE2U&#10;KvDcs3qmH40cFTw/uvBSrr9j1dtfw+o3AAAA//8DAFBLAwQUAAYACAAAACEAkfp5aeIAAAAKAQAA&#10;DwAAAGRycy9kb3ducmV2LnhtbEyPwU6DQBCG7ya+w2ZMvLVLCSIiS9OQNCZGD629eFvYKRDZWWS3&#10;Lfr0jie9zWS+/PP9xXq2gzjj5HtHClbLCARS40xPrYLD23aRgfBBk9GDI1TwhR7W5fVVoXPjLrTD&#10;8z60gkPI51pBF8KYS+mbDq32Szci8e3oJqsDr1MrzaQvHG4HGUdRKq3uiT90esSqw+Zjf7IKnqvt&#10;q97Vsc2+h+rp5bgZPw/vd0rd3sybRxAB5/AHw68+q0PJTrU7kfFiULBYJQmjPMQpCAbSh+weRK0g&#10;TqIUZFnI/xXKHwAAAP//AwBQSwECLQAUAAYACAAAACEAtoM4kv4AAADhAQAAEwAAAAAAAAAAAAAA&#10;AAAAAAAAW0NvbnRlbnRfVHlwZXNdLnhtbFBLAQItABQABgAIAAAAIQA4/SH/1gAAAJQBAAALAAAA&#10;AAAAAAAAAAAAAC8BAABfcmVscy8ucmVsc1BLAQItABQABgAIAAAAIQAEhUwDOQIAAGIEAAAOAAAA&#10;AAAAAAAAAAAAAC4CAABkcnMvZTJvRG9jLnhtbFBLAQItABQABgAIAAAAIQCR+nlp4gAAAAoBAAAP&#10;AAAAAAAAAAAAAAAAAJMEAABkcnMvZG93bnJldi54bWxQSwUGAAAAAAQABADzAAAAogUAAAAA&#10;">
              <v:textbox>
                <w:txbxContent>
                  <w:p w:rsidRPr="001C6668" w:rsidR="0059261D" w:rsidP="0059261D" w:rsidRDefault="00506395" w14:paraId="5CEBCE9C" w14:textId="4A4F2FD8">
                    <w:pPr>
                      <w:pStyle w:val="Heading4"/>
                    </w:pPr>
                    <w:r w:rsidRPr="001C6668">
                      <w:t xml:space="preserve">SAOPŠTENJE ZA MEDIJE </w:t>
                    </w:r>
                  </w:p>
                  <w:p w:rsidRPr="001C6668" w:rsidR="009E6BA4" w:rsidP="009E6BA4" w:rsidRDefault="009E6BA4" w14:paraId="304A67FE" w14:textId="777777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1C6668">
                      <w:rPr>
                        <w:color w:val="FFFFFF" w:themeColor="background1"/>
                        <w:sz w:val="24"/>
                      </w:rPr>
                      <w:t>Za hitno objavljivanje</w:t>
                    </w:r>
                  </w:p>
                  <w:p w:rsidRPr="001C6668" w:rsidR="009E6BA4" w:rsidP="009E6BA4" w:rsidRDefault="009E6BA4" w14:paraId="6386E69C" w14:textId="77777777"/>
                  <w:p w:rsidRPr="001C6668" w:rsidR="0059261D" w:rsidP="0059261D" w:rsidRDefault="0094370A" w14:paraId="5D621993" w14:textId="699DE643">
                    <w:pPr>
                      <w:pStyle w:val="Heading3"/>
                    </w:pPr>
                    <w:r w:rsidRPr="001C6668">
                      <w:t>SAFE2EAT</w:t>
                    </w:r>
                  </w:p>
                  <w:p w:rsidRPr="001C6668" w:rsidR="00506395" w:rsidP="00506395" w:rsidRDefault="00506395" w14:paraId="5D1E3958" w14:textId="77777777"/>
                  <w:p w:rsidRPr="001C6668" w:rsidR="00506395" w:rsidP="00506395" w:rsidRDefault="00506395" w14:paraId="4581B477" w14:textId="5DB4FD4B"/>
                </w:txbxContent>
              </v:textbox>
            </v:shape>
          </w:pict>
        </mc:Fallback>
      </mc:AlternateContent>
    </w:r>
    <w:r w:rsidRPr="001C666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600082C4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C6668" w:rsidR="001E0BCD" w:rsidP="001E0BCD" w:rsidRDefault="001E0BCD" w14:paraId="0BF23E5C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1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787878" stroked="f" strokeweight="1pt" w14:anchorId="3A857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IMmgIAAJoFAAAOAAAAZHJzL2Uyb0RvYy54bWysVN9P2zAQfp+0/8Hy+0ja0VEqUlSBmCYh&#10;hoCJZ9exm0iOz7PdJt1fvzsnDR2gPUxrJcf23X33w9/dxWXXGLZTPtRgCz45yTlTVkJZ203Bfzzd&#10;fJpzFqKwpTBgVcH3KvDL5ccPF61bqClUYErlGYLYsGhdwasY3SLLgqxUI8IJOGVRqME3IuLRb7LS&#10;ixbRG5NN8/xL1oIvnQepQsDb617IlwlfayXjd62DiswUHGOLafVpXdOaLS/EYuOFq2o5hCH+IYpG&#10;1BadjlDXIgq29fUbqKaWHgLoeCKhyUDrWqqUA2YzyV9l81gJp1IuWJzgxjKF/wcr73b3ntUlvt2E&#10;MysafKMHrJqwG6MY3mGBWhcWqPfo7v1wCrilbDvtG/piHqxLRd2PRVVdZBIvz2azeT5HGkiUTc7n&#10;Of4INXsxdz7ErwoaRpuCe/Sfiil2tyH2qgcV8hbA1OVNbUw6+M36yni2E/jCZ3P6D+h/qBlLyhbI&#10;rEekm4xS65NJu7g3ivSMfVAaq4LhT1MkiY9q9COkVDZOelElStW7nx3lNlqkTBMgIWv0P2IPAMT1&#10;t9h9lIM+mapE59E4/1tgvfFokTyDjaNxU1vw7wEYzGrw3OsfitSXhqoUu3WXGPOZNOlmDeUeWeSh&#10;b6/g5E2NL3krQrwXHvsJOw9nRPyOizbQFhyGHWcV+F/v3ZM+0hylnLXYnwUPP7fCK87MN4sNcD45&#10;PaWGTofT2dkUD/5Ysj6W2G1zBUgQ5DhGl7akH81hqz00zzhKVuQVRcJK9F1wGf3hcBX7uYHDSKrV&#10;KqlhEzsRb+2jkwROdSamPnXPwruBzhE74Q4OvSwWr1jd65KlhdU2gq4T5V/qOrwADoBEpWFY0YQ5&#10;Pietl5G6/A0AAP//AwBQSwMEFAAGAAgAAAAhAF5eKKThAAAADQEAAA8AAABkcnMvZG93bnJldi54&#10;bWxMj01PwkAQhu8m/ofNmHiD3dYPSumWmCoXQmIEuQ/t0jZ2Z2t3gfrvHU56m48n7zyTLUfbibMZ&#10;fOtIQzRVIAyVrmqp1vC5W00SED4gVdg5Mhp+jIdlfnuTYVq5C32Y8zbUgkPIp6ihCaFPpfRlYyz6&#10;qesN8e7oBouB26GW1YAXDredjJV6lhZb4gsN9qZoTPm1PVkN+P69fkueXne+mD+sV7jfHDdFovX9&#10;3fiyABHMGP5guOqzOuTsdHAnqrzoNEyimYqY5Wqm5iCuiIpVDOKgIX7kkcwz+f+L/BcAAP//AwBQ&#10;SwECLQAUAAYACAAAACEAtoM4kv4AAADhAQAAEwAAAAAAAAAAAAAAAAAAAAAAW0NvbnRlbnRfVHlw&#10;ZXNdLnhtbFBLAQItABQABgAIAAAAIQA4/SH/1gAAAJQBAAALAAAAAAAAAAAAAAAAAC8BAABfcmVs&#10;cy8ucmVsc1BLAQItABQABgAIAAAAIQBWtzIMmgIAAJoFAAAOAAAAAAAAAAAAAAAAAC4CAABkcnMv&#10;ZTJvRG9jLnhtbFBLAQItABQABgAIAAAAIQBeXiik4QAAAA0BAAAPAAAAAAAAAAAAAAAAAPQEAABk&#10;cnMvZG93bnJldi54bWxQSwUGAAAAAAQABADzAAAAAgYAAAAA&#10;">
              <v:textbox>
                <w:txbxContent>
                  <w:p w:rsidRPr="001C6668" w:rsidR="001E0BCD" w:rsidP="001E0BCD" w:rsidRDefault="001E0BCD" w14:paraId="0BF23E5C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1C6668" w:rsidR="00EA7E45" w:rsidRDefault="00246A65" w14:paraId="3BABDAB1" w14:textId="77777777">
    <w:pPr>
      <w:pStyle w:val="Header"/>
    </w:pPr>
    <w:r w:rsidRPr="001C666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5BF0E1A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C6668" w:rsidR="001E0BCD" w:rsidP="001E0BCD" w:rsidRDefault="001E0BCD" w14:paraId="303C749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36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0" fillcolor="white [3212]" stroked="f" strokeweight="1pt" w14:anchorId="21616B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gmwIAAJYFAAAOAAAAZHJzL2Uyb0RvYy54bWysVFtv2yAUfp+0/4B4X52k6WVRnSpq1WlS&#10;1UZtpz4TDDES5jAgsbNfvwPY7mXVHqa92BzO/eM75+KyazTZC+cVmJJOjyaUCMOhUmZb0h9PN1/O&#10;KfGBmYppMKKkB+Hp5fLzp4vWLsQMatCVcASDGL9obUnrEOyiKDyvRcP8EVhhUCnBNSyg6LZF5ViL&#10;0RtdzCaT06IFV1kHXHiPt9dZSZcpvpSCh3spvQhElxRrC+nr0ncTv8Xygi22jtla8b4M9g9VNEwZ&#10;TDqGumaBkZ1Tf4RqFHfgQYYjDk0BUiouUg/YzXTyrpvHmlmRekFwvB1h8v8vLL/brx1RVUmPTykx&#10;rME3ekDUmNlqQfAOAWqtX6Ddo127XvJ4jN120jXxj32QLoF6GEEVXSAcL8/Pj2ezM0o4qs7wyRLm&#10;xYuvdT58E9CQeCipw+QJSba/9QHzoelgElN50Kq6UVonIdJEXGlH9gwfeLOdxnrR442VNtHWQPTK&#10;6nhTxLZyI+kUDlpEO20ehEREsPRZKiRx8SUJ41yYMM2qmlUi5z7BzobWRo9USwoYI0vMP8buA7xt&#10;YIidq+zto6tIVB6dJ38rLDuPHikzmDA6N8qA+yiAxq76zNl+AClDE1EK3aZLbJkPxNhAdUAGOcij&#10;5S2/UfiQt8yHNXM4Szh1uB/CPX6khrak0J8oqcH9+ug+2iPFUUtJi7NZUv9zx5ygRH83SP6v0/k8&#10;DnMS5ifIKkrca83mtcbsmitAdkxxE1mejtE+6OEoHTTPuEZWMSuqmOGYu6Q8uEG4Cnln4CLiYrVK&#10;ZjjAloVb82h5DB5xjkR96p6Zsz2bA07BHQxzzBbvSJ1to6eB1S6AVInxEemMa/8COPyJSv2iitvl&#10;tZysXtbp8jcAAAD//wMAUEsDBBQABgAIAAAAIQBCJlg83AAAAAYBAAAPAAAAZHJzL2Rvd25yZXYu&#10;eG1sTM4xT8MwEAXgHYn/YB0SC6JOa7WUEKcCJCQWBtoKMbrxEVuNz1HsJim/Hmcq49M7vfuKzega&#10;1mMXrCcJ81kGDKny2lItYb97u18DC1GRVo0nlHDGAJvy+qpQufYDfWK/jTVLIxRyJcHE2Oach8qg&#10;U2HmW6TU/fjOqZhiV3PdqSGNu4YvsmzFnbKUPhjV4qvB6rg9OQkfZyHe+ztxHPZW1PaXf798GS/l&#10;7c34/AQs4hgvxzDxEx3KZDr4E+nAmimzKGG5Tv6pFY8LYAcJD9kceFnw//zyDwAA//8DAFBLAQIt&#10;ABQABgAIAAAAIQC2gziS/gAAAOEBAAATAAAAAAAAAAAAAAAAAAAAAABbQ29udGVudF9UeXBlc10u&#10;eG1sUEsBAi0AFAAGAAgAAAAhADj9If/WAAAAlAEAAAsAAAAAAAAAAAAAAAAALwEAAF9yZWxzLy5y&#10;ZWxzUEsBAi0AFAAGAAgAAAAhAENCYaCbAgAAlgUAAA4AAAAAAAAAAAAAAAAALgIAAGRycy9lMm9E&#10;b2MueG1sUEsBAi0AFAAGAAgAAAAhAEImWDzcAAAABgEAAA8AAAAAAAAAAAAAAAAA9QQAAGRycy9k&#10;b3ducmV2LnhtbFBLBQYAAAAABAAEAPMAAAD+BQAAAAA=&#10;">
              <v:textbox>
                <w:txbxContent>
                  <w:p w:rsidRPr="001C6668" w:rsidR="001E0BCD" w:rsidP="001E0BCD" w:rsidRDefault="001E0BCD" w14:paraId="303C749B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70"/>
    <w:rsid w:val="0002430D"/>
    <w:rsid w:val="0002547B"/>
    <w:rsid w:val="00025AF7"/>
    <w:rsid w:val="00026CBC"/>
    <w:rsid w:val="000336E0"/>
    <w:rsid w:val="0003533E"/>
    <w:rsid w:val="000379B0"/>
    <w:rsid w:val="00043B53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D10F6"/>
    <w:rsid w:val="000D72D7"/>
    <w:rsid w:val="000E674D"/>
    <w:rsid w:val="000F09FC"/>
    <w:rsid w:val="000F2334"/>
    <w:rsid w:val="00101E6B"/>
    <w:rsid w:val="00111471"/>
    <w:rsid w:val="00120CDF"/>
    <w:rsid w:val="001224B1"/>
    <w:rsid w:val="00124406"/>
    <w:rsid w:val="00124E2D"/>
    <w:rsid w:val="0013355C"/>
    <w:rsid w:val="00141C72"/>
    <w:rsid w:val="00146167"/>
    <w:rsid w:val="00146CC7"/>
    <w:rsid w:val="00154099"/>
    <w:rsid w:val="001715A9"/>
    <w:rsid w:val="00171A92"/>
    <w:rsid w:val="00175661"/>
    <w:rsid w:val="001A0E65"/>
    <w:rsid w:val="001A0FE4"/>
    <w:rsid w:val="001C2F8C"/>
    <w:rsid w:val="001C6668"/>
    <w:rsid w:val="001D7723"/>
    <w:rsid w:val="001D7CB9"/>
    <w:rsid w:val="001E0BCD"/>
    <w:rsid w:val="001E2F2D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A40AD"/>
    <w:rsid w:val="002A4DB9"/>
    <w:rsid w:val="002B3D03"/>
    <w:rsid w:val="002B7BB9"/>
    <w:rsid w:val="002C42BB"/>
    <w:rsid w:val="002C5926"/>
    <w:rsid w:val="002C7611"/>
    <w:rsid w:val="002E2082"/>
    <w:rsid w:val="00306FA4"/>
    <w:rsid w:val="00313333"/>
    <w:rsid w:val="00323A85"/>
    <w:rsid w:val="00333E28"/>
    <w:rsid w:val="003372BD"/>
    <w:rsid w:val="00351686"/>
    <w:rsid w:val="00367010"/>
    <w:rsid w:val="003850DB"/>
    <w:rsid w:val="003940BB"/>
    <w:rsid w:val="003949E8"/>
    <w:rsid w:val="003A0FE5"/>
    <w:rsid w:val="003B1440"/>
    <w:rsid w:val="003B46F5"/>
    <w:rsid w:val="003C7E69"/>
    <w:rsid w:val="003D03E8"/>
    <w:rsid w:val="003D145D"/>
    <w:rsid w:val="003F26EE"/>
    <w:rsid w:val="003F466D"/>
    <w:rsid w:val="003F5466"/>
    <w:rsid w:val="00416D44"/>
    <w:rsid w:val="00420179"/>
    <w:rsid w:val="004228D5"/>
    <w:rsid w:val="00435003"/>
    <w:rsid w:val="00444243"/>
    <w:rsid w:val="00453BF9"/>
    <w:rsid w:val="00457803"/>
    <w:rsid w:val="00460058"/>
    <w:rsid w:val="0047599B"/>
    <w:rsid w:val="00480556"/>
    <w:rsid w:val="00485919"/>
    <w:rsid w:val="004864E6"/>
    <w:rsid w:val="004A0F9D"/>
    <w:rsid w:val="004A1F2A"/>
    <w:rsid w:val="004A79D0"/>
    <w:rsid w:val="004C0ACC"/>
    <w:rsid w:val="004C4000"/>
    <w:rsid w:val="004D13EB"/>
    <w:rsid w:val="00505B02"/>
    <w:rsid w:val="00506395"/>
    <w:rsid w:val="00507A72"/>
    <w:rsid w:val="00524115"/>
    <w:rsid w:val="00525210"/>
    <w:rsid w:val="00534718"/>
    <w:rsid w:val="00534B97"/>
    <w:rsid w:val="00535A10"/>
    <w:rsid w:val="0053677B"/>
    <w:rsid w:val="00543D21"/>
    <w:rsid w:val="005448DC"/>
    <w:rsid w:val="00555C52"/>
    <w:rsid w:val="005621D4"/>
    <w:rsid w:val="00583BB8"/>
    <w:rsid w:val="0058464F"/>
    <w:rsid w:val="0059261D"/>
    <w:rsid w:val="005B176F"/>
    <w:rsid w:val="005B2332"/>
    <w:rsid w:val="005B3B3E"/>
    <w:rsid w:val="005B3F71"/>
    <w:rsid w:val="005C436C"/>
    <w:rsid w:val="0060120E"/>
    <w:rsid w:val="00602522"/>
    <w:rsid w:val="0062451E"/>
    <w:rsid w:val="00644BFC"/>
    <w:rsid w:val="006526EC"/>
    <w:rsid w:val="0066136C"/>
    <w:rsid w:val="006743A1"/>
    <w:rsid w:val="00680706"/>
    <w:rsid w:val="00681686"/>
    <w:rsid w:val="006B6300"/>
    <w:rsid w:val="006D33D5"/>
    <w:rsid w:val="006E34D1"/>
    <w:rsid w:val="00702B23"/>
    <w:rsid w:val="00706872"/>
    <w:rsid w:val="0075657E"/>
    <w:rsid w:val="00761CAE"/>
    <w:rsid w:val="00765D55"/>
    <w:rsid w:val="00771507"/>
    <w:rsid w:val="007872B4"/>
    <w:rsid w:val="00795E02"/>
    <w:rsid w:val="007B49C6"/>
    <w:rsid w:val="007C38D6"/>
    <w:rsid w:val="007F41FE"/>
    <w:rsid w:val="007F51E4"/>
    <w:rsid w:val="00835EF5"/>
    <w:rsid w:val="00855AC6"/>
    <w:rsid w:val="00861969"/>
    <w:rsid w:val="008640B9"/>
    <w:rsid w:val="00890E63"/>
    <w:rsid w:val="008A0479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3B63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95E6D"/>
    <w:rsid w:val="00997DAB"/>
    <w:rsid w:val="009A0EDD"/>
    <w:rsid w:val="009A5CDA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4388E"/>
    <w:rsid w:val="00A73710"/>
    <w:rsid w:val="00A74D73"/>
    <w:rsid w:val="00A757FA"/>
    <w:rsid w:val="00A822F7"/>
    <w:rsid w:val="00A8408B"/>
    <w:rsid w:val="00A84DB4"/>
    <w:rsid w:val="00AB57C8"/>
    <w:rsid w:val="00AC7A94"/>
    <w:rsid w:val="00AE5FE7"/>
    <w:rsid w:val="00B301A0"/>
    <w:rsid w:val="00B34544"/>
    <w:rsid w:val="00B350F9"/>
    <w:rsid w:val="00B44582"/>
    <w:rsid w:val="00B56E47"/>
    <w:rsid w:val="00B607ED"/>
    <w:rsid w:val="00B73A2D"/>
    <w:rsid w:val="00B81833"/>
    <w:rsid w:val="00B9470E"/>
    <w:rsid w:val="00B97105"/>
    <w:rsid w:val="00BB181B"/>
    <w:rsid w:val="00BB195F"/>
    <w:rsid w:val="00BC5CD7"/>
    <w:rsid w:val="00BD0477"/>
    <w:rsid w:val="00BD0AAC"/>
    <w:rsid w:val="00BD4A55"/>
    <w:rsid w:val="00BE13CD"/>
    <w:rsid w:val="00BE2699"/>
    <w:rsid w:val="00BE46C2"/>
    <w:rsid w:val="00BF76DA"/>
    <w:rsid w:val="00C076C5"/>
    <w:rsid w:val="00C1789E"/>
    <w:rsid w:val="00C42E9E"/>
    <w:rsid w:val="00C44653"/>
    <w:rsid w:val="00C8132D"/>
    <w:rsid w:val="00CC0D43"/>
    <w:rsid w:val="00CD13B7"/>
    <w:rsid w:val="00D04FA4"/>
    <w:rsid w:val="00D156BC"/>
    <w:rsid w:val="00D415E5"/>
    <w:rsid w:val="00D56D81"/>
    <w:rsid w:val="00D621E8"/>
    <w:rsid w:val="00D65160"/>
    <w:rsid w:val="00D6773C"/>
    <w:rsid w:val="00D67E17"/>
    <w:rsid w:val="00D70E8A"/>
    <w:rsid w:val="00D81BB5"/>
    <w:rsid w:val="00D84CE5"/>
    <w:rsid w:val="00DA6080"/>
    <w:rsid w:val="00DE1CD0"/>
    <w:rsid w:val="00E0704F"/>
    <w:rsid w:val="00E11D30"/>
    <w:rsid w:val="00E33F3B"/>
    <w:rsid w:val="00E55A17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D0B0B"/>
    <w:rsid w:val="00ED1B1D"/>
    <w:rsid w:val="00EE0EFA"/>
    <w:rsid w:val="00EE23D8"/>
    <w:rsid w:val="00F02118"/>
    <w:rsid w:val="00F0491C"/>
    <w:rsid w:val="00F224AF"/>
    <w:rsid w:val="00F2259D"/>
    <w:rsid w:val="00F30E9C"/>
    <w:rsid w:val="00F65EDD"/>
    <w:rsid w:val="00F66384"/>
    <w:rsid w:val="00FA026D"/>
    <w:rsid w:val="00FA70D7"/>
    <w:rsid w:val="00FB1EB5"/>
    <w:rsid w:val="00FC11DB"/>
    <w:rsid w:val="00FD1C5F"/>
    <w:rsid w:val="00FD3F09"/>
    <w:rsid w:val="00FE28CB"/>
    <w:rsid w:val="00FE4DFC"/>
    <w:rsid w:val="00FF13C2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4EE0B7C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level2" w:customStyle="1">
    <w:name w:val="List para level 2"/>
    <w:basedOn w:val="ListParagraph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styleId="Listparalevel2Char" w:customStyle="1">
    <w:name w:val="List para level 2 Char"/>
    <w:basedOn w:val="ListParagraphChar"/>
    <w:link w:val="Listparalevel2"/>
    <w:rsid w:val="00A11232"/>
    <w:rPr>
      <w:noProof/>
      <w:color w:val="787878"/>
      <w:sz w:val="19"/>
      <w:lang w:val="sr-Latn-RS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sr-Latn-RS"/>
    </w:rPr>
  </w:style>
  <w:style w:type="paragraph" w:styleId="listnumgreen" w:customStyle="1">
    <w:name w:val="list num green"/>
    <w:basedOn w:val="ListParagraph"/>
    <w:rsid w:val="00A11232"/>
    <w:pPr>
      <w:numPr>
        <w:numId w:val="6"/>
      </w:numPr>
    </w:pPr>
  </w:style>
  <w:style w:type="paragraph" w:styleId="Contact" w:customStyle="1">
    <w:name w:val="Contact"/>
    <w:basedOn w:val="Normal"/>
    <w:qFormat/>
    <w:rsid w:val="00A11232"/>
    <w:pPr>
      <w:spacing w:after="0"/>
      <w:ind w:right="-425"/>
    </w:pPr>
  </w:style>
  <w:style w:type="character" w:styleId="Heading1Char" w:customStyle="1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sr-Latn-RS"/>
    </w:rPr>
  </w:style>
  <w:style w:type="character" w:styleId="Heading2Char" w:customStyle="1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sr-Latn-RS"/>
    </w:rPr>
  </w:style>
  <w:style w:type="character" w:styleId="Heading3Char" w:customStyle="1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sr-Latn-RS"/>
    </w:rPr>
  </w:style>
  <w:style w:type="character" w:styleId="Heading4Char" w:customStyle="1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sr-Latn-RS"/>
    </w:rPr>
  </w:style>
  <w:style w:type="character" w:styleId="Heading5Char" w:customStyle="1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sr-Latn-R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styleId="TitleChar" w:customStyle="1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sr-Latn-R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B3B3E"/>
    <w:rPr>
      <w:color w:val="787878"/>
      <w:sz w:val="19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B3B3E"/>
    <w:rPr>
      <w:color w:val="787878"/>
      <w:sz w:val="19"/>
      <w:lang w:val="sr-Latn-RS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eop" w:customStyle="1">
    <w:name w:val="eop"/>
    <w:basedOn w:val="DefaultParagraphFont"/>
    <w:rsid w:val="00506395"/>
  </w:style>
  <w:style w:type="character" w:styleId="normaltextrun" w:customStyle="1">
    <w:name w:val="normaltextrun"/>
    <w:basedOn w:val="DefaultParagraphFont"/>
    <w:rsid w:val="00506395"/>
  </w:style>
  <w:style w:type="character" w:styleId="tabchar" w:customStyle="1">
    <w:name w:val="tabchar"/>
    <w:basedOn w:val="DefaultParagraphFont"/>
    <w:rsid w:val="00506395"/>
  </w:style>
  <w:style w:type="character" w:styleId="UnresolvedMention" w:customStyle="1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sr-Latn-RS"/>
    </w:rPr>
  </w:style>
  <w:style w:type="paragraph" w:styleId="NormalWeb">
    <w:name w:val="Normal (Web)"/>
    <w:basedOn w:val="Normal"/>
    <w:uiPriority w:val="99"/>
    <w:semiHidden/>
    <w:unhideWhenUsed/>
    <w:rsid w:val="00F049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Press@efsa.europa.eu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fsa.europa.eu/en/safe2ea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f6b77d0-fce4-4a0a-aeeb-e5d10f0910fb"/>
    <ds:schemaRef ds:uri="101da1ee-2ae8-47b4-84cf-f4457d329b55"/>
  </ds:schemaRefs>
</ds:datastoreItem>
</file>

<file path=customXml/itemProps2.xml><?xml version="1.0" encoding="utf-8"?>
<ds:datastoreItem xmlns:ds="http://schemas.openxmlformats.org/officeDocument/2006/customXml" ds:itemID="{54947607-9C86-4138-BB4E-6C87472ECADB}"/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C3E9B-6F10-40D5-A318-5F3BE619BB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GARCIA GOMEZ Matilde</ap:Manager>
  <ap:Company>CDT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Barabucci, Claudia</cp:lastModifiedBy>
  <cp:revision>4</cp:revision>
  <dcterms:created xsi:type="dcterms:W3CDTF">2026-04-20T13:13:00Z</dcterms:created>
  <dcterms:modified xsi:type="dcterms:W3CDTF">2026-05-05T20:49:06Z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en</vt:lpwstr>
  </property>
</Properties>
</file>