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EE1F5" w14:textId="3100577F" w:rsidR="008C1913" w:rsidRPr="007F2113" w:rsidRDefault="008C1913" w:rsidP="233A23E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  <w:lang w:val="en-GB"/>
        </w:rPr>
      </w:pPr>
    </w:p>
    <w:p w14:paraId="659D8FCA" w14:textId="77777777" w:rsidR="008C1913" w:rsidRPr="007F2113" w:rsidRDefault="008C1913" w:rsidP="306495D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</w:rPr>
      </w:pPr>
    </w:p>
    <w:p w14:paraId="54CD1949" w14:textId="77777777" w:rsidR="000D09ED" w:rsidRPr="007F2113" w:rsidRDefault="000D09ED" w:rsidP="306495D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</w:rPr>
      </w:pPr>
    </w:p>
    <w:p w14:paraId="79EE128F" w14:textId="158D4A2A" w:rsidR="008C1913" w:rsidRPr="007F2113" w:rsidRDefault="008C1913" w:rsidP="306495D7">
      <w:pPr>
        <w:pStyle w:val="paragraph"/>
        <w:spacing w:before="24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</w:rPr>
      </w:pPr>
      <w:r w:rsidRPr="007F2113">
        <w:rPr>
          <w:rStyle w:val="normaltextrun"/>
          <w:rFonts w:ascii="Calibri" w:hAnsi="Calibri" w:cs="Calibri"/>
          <w:b/>
          <w:color w:val="1A4489"/>
        </w:rPr>
        <w:t>Надеждна наука за безопасни храни в Европа</w:t>
      </w:r>
    </w:p>
    <w:p w14:paraId="62CE17EB" w14:textId="62A5F026" w:rsidR="00B857C9" w:rsidRPr="004A49F7" w:rsidRDefault="1677A05A" w:rsidP="00D375B0">
      <w:pPr>
        <w:pStyle w:val="paragraph"/>
        <w:jc w:val="both"/>
        <w:textAlignment w:val="baseline"/>
        <w:rPr>
          <w:rFonts w:ascii="Calibri" w:hAnsi="Calibri" w:cs="Calibri"/>
          <w:color w:val="000000" w:themeColor="text1"/>
        </w:rPr>
      </w:pPr>
      <w:r w:rsidRPr="007F2113">
        <w:rPr>
          <w:rFonts w:ascii="Calibri" w:hAnsi="Calibri" w:cs="Calibri"/>
          <w:color w:val="000000" w:themeColor="text1"/>
        </w:rPr>
        <w:t xml:space="preserve">Разбирането на научните </w:t>
      </w:r>
      <w:r w:rsidR="00C56954" w:rsidRPr="007F2113">
        <w:rPr>
          <w:rFonts w:ascii="Calibri" w:hAnsi="Calibri" w:cs="Calibri"/>
          <w:color w:val="000000" w:themeColor="text1"/>
        </w:rPr>
        <w:t xml:space="preserve">основи на </w:t>
      </w:r>
      <w:r w:rsidRPr="007F2113">
        <w:rPr>
          <w:rFonts w:ascii="Calibri" w:hAnsi="Calibri" w:cs="Calibri"/>
          <w:color w:val="000000" w:themeColor="text1"/>
        </w:rPr>
        <w:t>безопасността на храните е от ключово значение</w:t>
      </w:r>
      <w:r w:rsidR="00C56954" w:rsidRPr="007F2113">
        <w:rPr>
          <w:rFonts w:ascii="Calibri" w:hAnsi="Calibri" w:cs="Calibri"/>
          <w:color w:val="000000" w:themeColor="text1"/>
        </w:rPr>
        <w:t xml:space="preserve"> за вземането на </w:t>
      </w:r>
      <w:r w:rsidR="002705F2" w:rsidRPr="007F2113">
        <w:rPr>
          <w:rFonts w:ascii="Calibri" w:hAnsi="Calibri" w:cs="Calibri"/>
          <w:color w:val="000000" w:themeColor="text1"/>
        </w:rPr>
        <w:t>информиран</w:t>
      </w:r>
      <w:r w:rsidR="00C56954" w:rsidRPr="007F2113">
        <w:rPr>
          <w:rFonts w:ascii="Calibri" w:hAnsi="Calibri" w:cs="Calibri"/>
          <w:color w:val="000000" w:themeColor="text1"/>
        </w:rPr>
        <w:t>и</w:t>
      </w:r>
      <w:r w:rsidR="002705F2" w:rsidRPr="007F2113">
        <w:rPr>
          <w:rFonts w:ascii="Calibri" w:hAnsi="Calibri" w:cs="Calibri"/>
          <w:color w:val="000000" w:themeColor="text1"/>
        </w:rPr>
        <w:t xml:space="preserve"> </w:t>
      </w:r>
      <w:r w:rsidRPr="007F2113">
        <w:rPr>
          <w:rFonts w:ascii="Calibri" w:hAnsi="Calibri" w:cs="Calibri"/>
          <w:color w:val="000000" w:themeColor="text1"/>
        </w:rPr>
        <w:t>решени</w:t>
      </w:r>
      <w:r w:rsidR="00C56954" w:rsidRPr="007F2113">
        <w:rPr>
          <w:rFonts w:ascii="Calibri" w:hAnsi="Calibri" w:cs="Calibri"/>
          <w:color w:val="000000" w:themeColor="text1"/>
        </w:rPr>
        <w:t>я</w:t>
      </w:r>
      <w:r w:rsidRPr="007F2113">
        <w:rPr>
          <w:rFonts w:ascii="Calibri" w:hAnsi="Calibri" w:cs="Calibri"/>
          <w:color w:val="000000" w:themeColor="text1"/>
        </w:rPr>
        <w:t xml:space="preserve"> в тази област. Това е основата на кампанията Safe2Eat — инициатива на ЕС, ръководена от Европейския орган за безопасност на храните (ЕОБХ), Европейската комисия и национални партньори в държавите членки на ЕС, </w:t>
      </w:r>
      <w:r w:rsidR="00C56954" w:rsidRPr="007F2113">
        <w:rPr>
          <w:rFonts w:ascii="Calibri" w:hAnsi="Calibri" w:cs="Calibri"/>
          <w:color w:val="000000" w:themeColor="text1"/>
        </w:rPr>
        <w:t xml:space="preserve">както и в страните </w:t>
      </w:r>
      <w:r w:rsidRPr="007F2113">
        <w:rPr>
          <w:rFonts w:ascii="Calibri" w:hAnsi="Calibri" w:cs="Calibri"/>
          <w:color w:val="000000" w:themeColor="text1"/>
        </w:rPr>
        <w:t>в процес на присъединяване.</w:t>
      </w:r>
    </w:p>
    <w:p w14:paraId="17788E9B" w14:textId="3E600999" w:rsidR="00B857C9" w:rsidRPr="004A49F7" w:rsidRDefault="00B857C9" w:rsidP="233A23EE">
      <w:pPr>
        <w:pStyle w:val="paragraph"/>
        <w:spacing w:after="0"/>
        <w:jc w:val="both"/>
        <w:textAlignment w:val="baseline"/>
        <w:rPr>
          <w:rFonts w:ascii="Calibri" w:hAnsi="Calibri" w:cs="Calibri"/>
          <w:color w:val="000000"/>
        </w:rPr>
      </w:pPr>
      <w:r w:rsidRPr="007F2113">
        <w:rPr>
          <w:rFonts w:ascii="Calibri" w:hAnsi="Calibri" w:cs="Calibri"/>
          <w:color w:val="000000" w:themeColor="text1"/>
        </w:rPr>
        <w:t>Е</w:t>
      </w:r>
      <w:r w:rsidR="00C56954" w:rsidRPr="007F2113">
        <w:rPr>
          <w:rFonts w:ascii="Calibri" w:hAnsi="Calibri" w:cs="Calibri"/>
          <w:color w:val="000000" w:themeColor="text1"/>
        </w:rPr>
        <w:t xml:space="preserve">вропейският съюз </w:t>
      </w:r>
      <w:r w:rsidRPr="007F2113">
        <w:rPr>
          <w:rFonts w:ascii="Calibri" w:hAnsi="Calibri" w:cs="Calibri"/>
          <w:color w:val="000000" w:themeColor="text1"/>
        </w:rPr>
        <w:t xml:space="preserve">разполага с една от най-строгите системи за безопасност на храните в света. Основана на високи научни </w:t>
      </w:r>
      <w:r w:rsidR="002705F2" w:rsidRPr="007F2113">
        <w:rPr>
          <w:rFonts w:ascii="Calibri" w:hAnsi="Calibri" w:cs="Calibri"/>
          <w:color w:val="000000" w:themeColor="text1"/>
        </w:rPr>
        <w:t>стандарти</w:t>
      </w:r>
      <w:r w:rsidRPr="007F2113">
        <w:rPr>
          <w:rFonts w:ascii="Calibri" w:hAnsi="Calibri" w:cs="Calibri"/>
          <w:color w:val="000000" w:themeColor="text1"/>
        </w:rPr>
        <w:t xml:space="preserve">, тя разчита на тясно сътрудничество между Европейския орган за безопасност на храните (ЕОБХ) и националните органи за безопасност на храните в цяла Европа, като всеки от тях играе </w:t>
      </w:r>
      <w:r w:rsidR="002705F2" w:rsidRPr="007F2113">
        <w:rPr>
          <w:rFonts w:ascii="Calibri" w:hAnsi="Calibri" w:cs="Calibri"/>
          <w:color w:val="000000" w:themeColor="text1"/>
        </w:rPr>
        <w:t>ключова</w:t>
      </w:r>
      <w:r w:rsidR="00C56954" w:rsidRPr="007F2113">
        <w:rPr>
          <w:rFonts w:ascii="Calibri" w:hAnsi="Calibri" w:cs="Calibri"/>
          <w:color w:val="000000" w:themeColor="text1"/>
        </w:rPr>
        <w:t xml:space="preserve"> </w:t>
      </w:r>
      <w:r w:rsidRPr="007F2113">
        <w:rPr>
          <w:rFonts w:ascii="Calibri" w:hAnsi="Calibri" w:cs="Calibri"/>
          <w:color w:val="000000" w:themeColor="text1"/>
        </w:rPr>
        <w:t>роля.</w:t>
      </w:r>
    </w:p>
    <w:p w14:paraId="1465FDDF" w14:textId="0CE5120E" w:rsidR="008C1913" w:rsidRPr="004A49F7" w:rsidRDefault="00B857C9" w:rsidP="233A23EE">
      <w:pPr>
        <w:pStyle w:val="paragraph"/>
        <w:spacing w:after="0"/>
        <w:jc w:val="both"/>
        <w:textAlignment w:val="baseline"/>
        <w:rPr>
          <w:rFonts w:ascii="Calibri" w:hAnsi="Calibri" w:cs="Calibri"/>
          <w:color w:val="000000"/>
        </w:rPr>
      </w:pPr>
      <w:r w:rsidRPr="007F2113">
        <w:rPr>
          <w:rFonts w:ascii="Calibri" w:hAnsi="Calibri" w:cs="Calibri"/>
          <w:color w:val="000000" w:themeColor="text1"/>
        </w:rPr>
        <w:t>ЕОБХ си сътрудничи с водещи учени от целия ЕС при анализ</w:t>
      </w:r>
      <w:r w:rsidR="00C56954" w:rsidRPr="007F2113">
        <w:rPr>
          <w:rFonts w:ascii="Calibri" w:hAnsi="Calibri" w:cs="Calibri"/>
          <w:color w:val="000000" w:themeColor="text1"/>
        </w:rPr>
        <w:t xml:space="preserve">а на научни </w:t>
      </w:r>
      <w:r w:rsidRPr="007F2113">
        <w:rPr>
          <w:rFonts w:ascii="Calibri" w:hAnsi="Calibri" w:cs="Calibri"/>
          <w:color w:val="000000" w:themeColor="text1"/>
        </w:rPr>
        <w:t>доказателства, оцен</w:t>
      </w:r>
      <w:r w:rsidR="00C56954" w:rsidRPr="007F2113">
        <w:rPr>
          <w:rFonts w:ascii="Calibri" w:hAnsi="Calibri" w:cs="Calibri"/>
          <w:color w:val="000000" w:themeColor="text1"/>
        </w:rPr>
        <w:t>ка</w:t>
      </w:r>
      <w:r w:rsidRPr="007F2113">
        <w:rPr>
          <w:rFonts w:ascii="Calibri" w:hAnsi="Calibri" w:cs="Calibri"/>
          <w:color w:val="000000" w:themeColor="text1"/>
        </w:rPr>
        <w:t xml:space="preserve"> на рисковете и </w:t>
      </w:r>
      <w:r w:rsidR="00C56954" w:rsidRPr="007F2113">
        <w:rPr>
          <w:rFonts w:ascii="Calibri" w:hAnsi="Calibri" w:cs="Calibri"/>
          <w:color w:val="000000" w:themeColor="text1"/>
        </w:rPr>
        <w:t xml:space="preserve">изготвянето </w:t>
      </w:r>
      <w:r w:rsidRPr="007F2113">
        <w:rPr>
          <w:rFonts w:ascii="Calibri" w:hAnsi="Calibri" w:cs="Calibri"/>
          <w:color w:val="000000" w:themeColor="text1"/>
        </w:rPr>
        <w:t xml:space="preserve">на независими </w:t>
      </w:r>
      <w:r w:rsidR="00702615" w:rsidRPr="007F2113">
        <w:rPr>
          <w:rFonts w:ascii="Calibri" w:hAnsi="Calibri" w:cs="Calibri"/>
          <w:color w:val="000000" w:themeColor="text1"/>
        </w:rPr>
        <w:t xml:space="preserve">експертни становища </w:t>
      </w:r>
      <w:r w:rsidRPr="007F2113">
        <w:rPr>
          <w:rFonts w:ascii="Calibri" w:hAnsi="Calibri" w:cs="Calibri"/>
          <w:color w:val="000000" w:themeColor="text1"/>
        </w:rPr>
        <w:t xml:space="preserve">относно безопасността на храните и храненето, като се позовава на най-новите научни </w:t>
      </w:r>
      <w:r w:rsidR="00702615" w:rsidRPr="007F2113">
        <w:rPr>
          <w:rFonts w:ascii="Calibri" w:hAnsi="Calibri" w:cs="Calibri"/>
          <w:color w:val="000000" w:themeColor="text1"/>
        </w:rPr>
        <w:t>данни</w:t>
      </w:r>
      <w:r w:rsidRPr="007F2113">
        <w:rPr>
          <w:rFonts w:ascii="Calibri" w:hAnsi="Calibri" w:cs="Calibri"/>
          <w:color w:val="000000" w:themeColor="text1"/>
        </w:rPr>
        <w:t xml:space="preserve">. </w:t>
      </w:r>
      <w:r w:rsidR="00C56954" w:rsidRPr="007F2113">
        <w:rPr>
          <w:rFonts w:ascii="Calibri" w:hAnsi="Calibri" w:cs="Calibri"/>
        </w:rPr>
        <w:t>Тези съвместни усилия допринасят за това европейските граждани да могат да правят информиран избор и да имат доверие, че безопасността на храните е приоритет.</w:t>
      </w:r>
      <w:r w:rsidR="004A49F7" w:rsidRPr="007F2113">
        <w:rPr>
          <w:rFonts w:ascii="Calibri" w:hAnsi="Calibri" w:cs="Calibri"/>
        </w:rPr>
        <w:t xml:space="preserve"> </w:t>
      </w:r>
      <w:r w:rsidRPr="004A49F7">
        <w:rPr>
          <w:rFonts w:ascii="Calibri" w:hAnsi="Calibri" w:cs="Calibri"/>
          <w:color w:val="000000" w:themeColor="text1"/>
        </w:rPr>
        <w:t xml:space="preserve">Освен в областта на безопасността на потребителите и </w:t>
      </w:r>
      <w:r w:rsidR="001C5795">
        <w:rPr>
          <w:rFonts w:ascii="Calibri" w:hAnsi="Calibri" w:cs="Calibri"/>
          <w:color w:val="000000" w:themeColor="text1"/>
        </w:rPr>
        <w:t>въпросите з</w:t>
      </w:r>
      <w:r w:rsidR="00C56954" w:rsidRPr="004A49F7">
        <w:rPr>
          <w:rFonts w:ascii="Calibri" w:hAnsi="Calibri" w:cs="Calibri"/>
          <w:color w:val="000000" w:themeColor="text1"/>
        </w:rPr>
        <w:t xml:space="preserve">а </w:t>
      </w:r>
      <w:r w:rsidRPr="007F2113">
        <w:rPr>
          <w:rFonts w:ascii="Calibri" w:hAnsi="Calibri" w:cs="Calibri"/>
          <w:color w:val="000000" w:themeColor="text1"/>
        </w:rPr>
        <w:t xml:space="preserve">храненето, работата на ЕОБХ е от ключово значение за </w:t>
      </w:r>
      <w:r w:rsidR="00702615" w:rsidRPr="007F2113">
        <w:rPr>
          <w:rFonts w:ascii="Calibri" w:hAnsi="Calibri" w:cs="Calibri"/>
          <w:color w:val="000000" w:themeColor="text1"/>
        </w:rPr>
        <w:t xml:space="preserve">опазването </w:t>
      </w:r>
      <w:r w:rsidRPr="007F2113">
        <w:rPr>
          <w:rFonts w:ascii="Calibri" w:hAnsi="Calibri" w:cs="Calibri"/>
          <w:color w:val="000000" w:themeColor="text1"/>
        </w:rPr>
        <w:t xml:space="preserve">на животните и околната среда от рисковете, свързани с хранителната верига. </w:t>
      </w:r>
      <w:r w:rsidR="00C56954" w:rsidRPr="007F2113">
        <w:rPr>
          <w:rFonts w:ascii="Calibri" w:hAnsi="Calibri" w:cs="Calibri"/>
          <w:color w:val="000000" w:themeColor="text1"/>
        </w:rPr>
        <w:t>По този начин</w:t>
      </w:r>
      <w:r w:rsidRPr="007F2113">
        <w:rPr>
          <w:rFonts w:ascii="Calibri" w:hAnsi="Calibri" w:cs="Calibri"/>
          <w:color w:val="000000" w:themeColor="text1"/>
        </w:rPr>
        <w:t xml:space="preserve"> ЕОБХ допринася за </w:t>
      </w:r>
      <w:r w:rsidR="00C56954" w:rsidRPr="007F2113">
        <w:rPr>
          <w:rFonts w:ascii="Calibri" w:hAnsi="Calibri" w:cs="Calibri"/>
          <w:color w:val="000000" w:themeColor="text1"/>
        </w:rPr>
        <w:t>защитата на общественото здраве</w:t>
      </w:r>
      <w:r w:rsidRPr="007F2113">
        <w:rPr>
          <w:rFonts w:ascii="Calibri" w:hAnsi="Calibri" w:cs="Calibri"/>
          <w:color w:val="000000" w:themeColor="text1"/>
        </w:rPr>
        <w:t xml:space="preserve"> и </w:t>
      </w:r>
      <w:r w:rsidR="00C56954" w:rsidRPr="007F2113">
        <w:rPr>
          <w:rFonts w:ascii="Calibri" w:hAnsi="Calibri" w:cs="Calibri"/>
        </w:rPr>
        <w:t>устойчивото функциониране на хранителната система в Европа.</w:t>
      </w:r>
    </w:p>
    <w:p w14:paraId="27C92011" w14:textId="6862E839" w:rsidR="008C1913" w:rsidRPr="007F2113" w:rsidRDefault="008C1913" w:rsidP="306495D7">
      <w:pPr>
        <w:pStyle w:val="paragraph"/>
        <w:spacing w:before="24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</w:rPr>
      </w:pPr>
      <w:r w:rsidRPr="007F2113">
        <w:rPr>
          <w:rStyle w:val="normaltextrun"/>
          <w:rFonts w:ascii="Calibri" w:hAnsi="Calibri" w:cs="Calibri"/>
          <w:b/>
          <w:color w:val="1A4489"/>
        </w:rPr>
        <w:t>Safe2Eat</w:t>
      </w:r>
    </w:p>
    <w:p w14:paraId="7C642BE8" w14:textId="3B7C4EA3" w:rsidR="00B857C9" w:rsidRPr="004A49F7" w:rsidRDefault="00364537" w:rsidP="233A23EE">
      <w:pPr>
        <w:pStyle w:val="paragraph"/>
        <w:spacing w:after="0"/>
        <w:jc w:val="both"/>
        <w:textAlignment w:val="baseline"/>
        <w:rPr>
          <w:rFonts w:ascii="Calibri" w:hAnsi="Calibri" w:cs="Calibri"/>
          <w:color w:val="000000" w:themeColor="text1"/>
        </w:rPr>
      </w:pPr>
      <w:r w:rsidRPr="004A49F7">
        <w:rPr>
          <w:rFonts w:ascii="Calibri" w:hAnsi="Calibri" w:cs="Calibri"/>
          <w:color w:val="000000" w:themeColor="text1"/>
        </w:rPr>
        <w:t xml:space="preserve">Всеки ден хората правят </w:t>
      </w:r>
      <w:r w:rsidRPr="007F2113">
        <w:rPr>
          <w:rFonts w:ascii="Calibri" w:hAnsi="Calibri" w:cs="Calibri"/>
          <w:color w:val="000000" w:themeColor="text1"/>
        </w:rPr>
        <w:t>различни избори по отношение на храната</w:t>
      </w:r>
      <w:r w:rsidR="00C56954" w:rsidRPr="007F2113">
        <w:rPr>
          <w:rFonts w:ascii="Calibri" w:hAnsi="Calibri" w:cs="Calibri"/>
          <w:color w:val="000000" w:themeColor="text1"/>
        </w:rPr>
        <w:t>, в зависимост от своите</w:t>
      </w:r>
      <w:r w:rsidRPr="007F2113">
        <w:rPr>
          <w:rFonts w:ascii="Calibri" w:hAnsi="Calibri" w:cs="Calibri"/>
          <w:color w:val="000000" w:themeColor="text1"/>
        </w:rPr>
        <w:t xml:space="preserve"> нужди и приоритети. Според проучването на </w:t>
      </w:r>
      <w:hyperlink r:id="rId11">
        <w:proofErr w:type="spellStart"/>
        <w:r w:rsidRPr="007F2113">
          <w:rPr>
            <w:rStyle w:val="Hyperlink"/>
            <w:rFonts w:ascii="Calibri" w:hAnsi="Calibri" w:cs="Calibri"/>
          </w:rPr>
          <w:t>Евробарометър</w:t>
        </w:r>
        <w:proofErr w:type="spellEnd"/>
        <w:r w:rsidRPr="007F2113">
          <w:rPr>
            <w:rStyle w:val="Hyperlink"/>
            <w:rFonts w:ascii="Calibri" w:hAnsi="Calibri" w:cs="Calibri"/>
          </w:rPr>
          <w:t xml:space="preserve"> от 2025 г. относно безопасността на храните в ЕС</w:t>
        </w:r>
      </w:hyperlink>
      <w:r w:rsidRPr="004A49F7">
        <w:rPr>
          <w:rFonts w:ascii="Calibri" w:hAnsi="Calibri" w:cs="Calibri"/>
          <w:color w:val="000000" w:themeColor="text1"/>
        </w:rPr>
        <w:t xml:space="preserve"> около 7 от всеки 10 европейци съобщават, че лично се интересуват от безопасността на храните. Факторът с най-голямо влияние (60 %) остава цената, следвана от вкуса (51 %), а безопасността на храните се нарежда на трето място (46 %).</w:t>
      </w:r>
    </w:p>
    <w:p w14:paraId="29F55A1F" w14:textId="4F3FF4DA" w:rsidR="00B857C9" w:rsidRPr="004A49F7" w:rsidRDefault="00C56954" w:rsidP="306495D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</w:rPr>
      </w:pPr>
      <w:r w:rsidRPr="007F2113">
        <w:rPr>
          <w:rFonts w:ascii="Calibri" w:hAnsi="Calibri" w:cs="Calibri"/>
          <w:color w:val="000000" w:themeColor="text1"/>
        </w:rPr>
        <w:t xml:space="preserve">Независимо от водещите фактори при избора, </w:t>
      </w:r>
      <w:r w:rsidR="00B857C9" w:rsidRPr="007F2113">
        <w:rPr>
          <w:rFonts w:ascii="Calibri" w:hAnsi="Calibri" w:cs="Calibri"/>
          <w:color w:val="000000" w:themeColor="text1"/>
        </w:rPr>
        <w:t xml:space="preserve">европейците </w:t>
      </w:r>
      <w:r w:rsidR="00B632A7" w:rsidRPr="007F2113">
        <w:rPr>
          <w:rFonts w:ascii="Calibri" w:hAnsi="Calibri" w:cs="Calibri"/>
          <w:color w:val="000000" w:themeColor="text1"/>
        </w:rPr>
        <w:t>могат да разчитат на</w:t>
      </w:r>
      <w:r w:rsidR="00B857C9" w:rsidRPr="007F2113">
        <w:rPr>
          <w:rFonts w:ascii="Calibri" w:hAnsi="Calibri" w:cs="Calibri"/>
          <w:color w:val="000000" w:themeColor="text1"/>
        </w:rPr>
        <w:t xml:space="preserve"> стабилна система за </w:t>
      </w:r>
      <w:r w:rsidR="00B632A7" w:rsidRPr="007F2113">
        <w:rPr>
          <w:rFonts w:ascii="Calibri" w:hAnsi="Calibri" w:cs="Calibri"/>
          <w:color w:val="000000" w:themeColor="text1"/>
        </w:rPr>
        <w:t xml:space="preserve">контрол </w:t>
      </w:r>
      <w:r w:rsidR="00B857C9" w:rsidRPr="007F2113">
        <w:rPr>
          <w:rFonts w:ascii="Calibri" w:hAnsi="Calibri" w:cs="Calibri"/>
          <w:color w:val="000000" w:themeColor="text1"/>
        </w:rPr>
        <w:t>на храните, която гарантира, че храните на пазара са безопасни.</w:t>
      </w:r>
    </w:p>
    <w:p w14:paraId="23791517" w14:textId="77777777" w:rsidR="00B857C9" w:rsidRPr="004A49F7" w:rsidRDefault="00B857C9" w:rsidP="306495D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</w:rPr>
      </w:pPr>
    </w:p>
    <w:p w14:paraId="10A006F8" w14:textId="3B1A1423" w:rsidR="006E4886" w:rsidRPr="007F2113" w:rsidRDefault="00B632A7" w:rsidP="306495D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</w:rPr>
      </w:pPr>
      <w:r w:rsidRPr="007F2113">
        <w:rPr>
          <w:rFonts w:ascii="Calibri" w:hAnsi="Calibri" w:cs="Calibri"/>
          <w:color w:val="000000" w:themeColor="text1"/>
        </w:rPr>
        <w:t>Учените от</w:t>
      </w:r>
      <w:r w:rsidR="00B857C9" w:rsidRPr="007F2113">
        <w:rPr>
          <w:rFonts w:ascii="Calibri" w:hAnsi="Calibri" w:cs="Calibri"/>
          <w:color w:val="000000" w:themeColor="text1"/>
        </w:rPr>
        <w:t xml:space="preserve"> целия ЕС постоянно анализират данни и научни изследвания, за да установяват и оценяват потенциалните рискове, като по този начин подпомагат </w:t>
      </w:r>
      <w:r w:rsidR="00856470" w:rsidRPr="007F2113">
        <w:rPr>
          <w:rFonts w:ascii="Calibri" w:hAnsi="Calibri" w:cs="Calibri"/>
          <w:color w:val="000000" w:themeColor="text1"/>
        </w:rPr>
        <w:t xml:space="preserve">компетентните </w:t>
      </w:r>
      <w:r w:rsidR="00B857C9" w:rsidRPr="007F2113">
        <w:rPr>
          <w:rFonts w:ascii="Calibri" w:hAnsi="Calibri" w:cs="Calibri"/>
          <w:color w:val="000000" w:themeColor="text1"/>
        </w:rPr>
        <w:t>органи</w:t>
      </w:r>
      <w:r w:rsidR="001C5795">
        <w:rPr>
          <w:rFonts w:ascii="Calibri" w:hAnsi="Calibri" w:cs="Calibri"/>
          <w:color w:val="000000" w:themeColor="text1"/>
        </w:rPr>
        <w:t xml:space="preserve"> при взимане</w:t>
      </w:r>
      <w:r w:rsidR="00856470" w:rsidRPr="007F2113">
        <w:rPr>
          <w:rFonts w:ascii="Calibri" w:hAnsi="Calibri" w:cs="Calibri"/>
          <w:color w:val="000000" w:themeColor="text1"/>
        </w:rPr>
        <w:t>то на решения относно безопасността на храните.</w:t>
      </w:r>
      <w:r w:rsidR="00B857C9" w:rsidRPr="007F2113">
        <w:rPr>
          <w:rFonts w:ascii="Calibri" w:hAnsi="Calibri" w:cs="Calibri"/>
          <w:color w:val="000000" w:themeColor="text1"/>
        </w:rPr>
        <w:t xml:space="preserve"> Тази общоевропейска система гарантира прозрачност, като дава на гражданите </w:t>
      </w:r>
      <w:r w:rsidR="00B857C9" w:rsidRPr="007F2113">
        <w:rPr>
          <w:rFonts w:ascii="Calibri" w:hAnsi="Calibri" w:cs="Calibri"/>
          <w:color w:val="000000" w:themeColor="text1"/>
        </w:rPr>
        <w:lastRenderedPageBreak/>
        <w:t xml:space="preserve">правото да знаят как </w:t>
      </w:r>
      <w:r w:rsidR="00856470" w:rsidRPr="007F2113">
        <w:rPr>
          <w:rFonts w:ascii="Calibri" w:hAnsi="Calibri" w:cs="Calibri"/>
          <w:color w:val="000000" w:themeColor="text1"/>
        </w:rPr>
        <w:t xml:space="preserve">храните </w:t>
      </w:r>
      <w:r w:rsidR="00B857C9" w:rsidRPr="007F2113">
        <w:rPr>
          <w:rFonts w:ascii="Calibri" w:hAnsi="Calibri" w:cs="Calibri"/>
          <w:color w:val="000000" w:themeColor="text1"/>
        </w:rPr>
        <w:t xml:space="preserve">се произвеждат, преработват, опаковат, етикетират и </w:t>
      </w:r>
      <w:r w:rsidR="00856470" w:rsidRPr="007F2113">
        <w:rPr>
          <w:rFonts w:ascii="Calibri" w:hAnsi="Calibri" w:cs="Calibri"/>
          <w:color w:val="000000" w:themeColor="text1"/>
        </w:rPr>
        <w:t>предлагат на пазара</w:t>
      </w:r>
      <w:r w:rsidR="00B857C9" w:rsidRPr="007F2113">
        <w:rPr>
          <w:rFonts w:ascii="Calibri" w:hAnsi="Calibri" w:cs="Calibri"/>
          <w:color w:val="000000" w:themeColor="text1"/>
        </w:rPr>
        <w:t>.</w:t>
      </w:r>
    </w:p>
    <w:p w14:paraId="347F23FA" w14:textId="6E1AAE5D" w:rsidR="008C1913" w:rsidRPr="007F2113" w:rsidRDefault="008C1913" w:rsidP="00D375B0">
      <w:pPr>
        <w:pStyle w:val="paragraph"/>
        <w:keepNext/>
        <w:spacing w:before="24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</w:rPr>
      </w:pPr>
      <w:r w:rsidRPr="007F2113">
        <w:rPr>
          <w:rStyle w:val="normaltextrun"/>
          <w:rFonts w:ascii="Calibri" w:hAnsi="Calibri" w:cs="Calibri"/>
          <w:b/>
          <w:color w:val="1A4489"/>
        </w:rPr>
        <w:t>За кампанията</w:t>
      </w:r>
    </w:p>
    <w:p w14:paraId="6FBBD753" w14:textId="77777777" w:rsidR="000D09ED" w:rsidRPr="004A49F7" w:rsidRDefault="000D09ED" w:rsidP="306495D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</w:rPr>
      </w:pPr>
    </w:p>
    <w:p w14:paraId="6F6CA8BC" w14:textId="33E46C5F" w:rsidR="005026F6" w:rsidRPr="004A49F7" w:rsidRDefault="006540B5" w:rsidP="306495D7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inorEastAsia" w:hAnsi="Calibri" w:cs="Calibri"/>
        </w:rPr>
      </w:pPr>
      <w:r w:rsidRPr="007F2113">
        <w:rPr>
          <w:rFonts w:ascii="Calibri" w:hAnsi="Calibri" w:cs="Calibri"/>
        </w:rPr>
        <w:t xml:space="preserve">Стартирала </w:t>
      </w:r>
      <w:r w:rsidR="31E50F03" w:rsidRPr="007F2113">
        <w:rPr>
          <w:rFonts w:ascii="Calibri" w:hAnsi="Calibri" w:cs="Calibri"/>
        </w:rPr>
        <w:t xml:space="preserve">с девет участващи държави, кампанията Safe2Eat непрекъснато разширява обхвата си. През 2026 г. инициативата </w:t>
      </w:r>
      <w:r w:rsidR="00856470" w:rsidRPr="007F2113">
        <w:rPr>
          <w:rFonts w:ascii="Calibri" w:hAnsi="Calibri" w:cs="Calibri"/>
        </w:rPr>
        <w:t xml:space="preserve">включва </w:t>
      </w:r>
      <w:r w:rsidR="31E50F03" w:rsidRPr="007F2113">
        <w:rPr>
          <w:rFonts w:ascii="Calibri" w:hAnsi="Calibri" w:cs="Calibri"/>
        </w:rPr>
        <w:t xml:space="preserve">23 държави в Европа и извън нея, което е </w:t>
      </w:r>
      <w:r w:rsidRPr="007F2113">
        <w:rPr>
          <w:rFonts w:ascii="Calibri" w:hAnsi="Calibri" w:cs="Calibri"/>
        </w:rPr>
        <w:t>доказателство з</w:t>
      </w:r>
      <w:r w:rsidR="31E50F03" w:rsidRPr="007F2113">
        <w:rPr>
          <w:rFonts w:ascii="Calibri" w:hAnsi="Calibri" w:cs="Calibri"/>
        </w:rPr>
        <w:t xml:space="preserve">а засилващите се съвместни усилия за насърчаване на </w:t>
      </w:r>
      <w:r w:rsidR="00856470" w:rsidRPr="007F2113">
        <w:rPr>
          <w:rFonts w:ascii="Calibri" w:hAnsi="Calibri" w:cs="Calibri"/>
        </w:rPr>
        <w:t>информирания избор при хранене.</w:t>
      </w:r>
    </w:p>
    <w:p w14:paraId="2677799A" w14:textId="3467D43C" w:rsidR="005026F6" w:rsidRPr="004A49F7" w:rsidRDefault="005026F6" w:rsidP="306495D7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inorEastAsia" w:hAnsi="Calibri" w:cs="Calibri"/>
          <w:color w:val="000000" w:themeColor="text1"/>
        </w:rPr>
      </w:pPr>
    </w:p>
    <w:p w14:paraId="1DE37309" w14:textId="78998FAF" w:rsidR="005026F6" w:rsidRPr="004A49F7" w:rsidRDefault="00856470" w:rsidP="306495D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</w:rPr>
      </w:pPr>
      <w:r w:rsidRPr="007F2113">
        <w:rPr>
          <w:rFonts w:ascii="Calibri" w:hAnsi="Calibri" w:cs="Calibri"/>
          <w:color w:val="000000" w:themeColor="text1"/>
        </w:rPr>
        <w:t xml:space="preserve">Участващите държави </w:t>
      </w:r>
      <w:r w:rsidR="006540B5" w:rsidRPr="007F2113">
        <w:rPr>
          <w:rFonts w:ascii="Calibri" w:hAnsi="Calibri" w:cs="Calibri"/>
          <w:color w:val="000000" w:themeColor="text1"/>
        </w:rPr>
        <w:t>са</w:t>
      </w:r>
      <w:r w:rsidR="31E50F03" w:rsidRPr="007F2113">
        <w:rPr>
          <w:rFonts w:ascii="Calibri" w:hAnsi="Calibri" w:cs="Calibri"/>
          <w:color w:val="000000" w:themeColor="text1"/>
        </w:rPr>
        <w:t>: Австрия, Белгия, България, Гърция, Естония, Ирландия, Испания, Кипър, Латвия, Люксембург, Полша, Португалия, Румъния, Словакия, Словения, Унгария, Хърватия и Чехия, както и държавите партньори Босна и Херцеговина, Северна Македония, Сърбия, Турция и Черна гора.</w:t>
      </w:r>
    </w:p>
    <w:p w14:paraId="6B69818E" w14:textId="69E4190D" w:rsidR="005026F6" w:rsidRPr="004A49F7" w:rsidRDefault="005026F6" w:rsidP="306495D7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inorEastAsia" w:hAnsi="Calibri" w:cs="Calibri"/>
          <w:color w:val="000000" w:themeColor="text1"/>
        </w:rPr>
      </w:pPr>
    </w:p>
    <w:p w14:paraId="4A7DF364" w14:textId="5D1E4E74" w:rsidR="005026F6" w:rsidRPr="004A49F7" w:rsidRDefault="31E50F03" w:rsidP="306495D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</w:rPr>
      </w:pPr>
      <w:r w:rsidRPr="007F2113">
        <w:rPr>
          <w:rFonts w:ascii="Calibri" w:hAnsi="Calibri" w:cs="Calibri"/>
          <w:color w:val="000000" w:themeColor="text1"/>
        </w:rPr>
        <w:t xml:space="preserve">Вече шеста година кампанията продължава да повишава осведомеността </w:t>
      </w:r>
      <w:r w:rsidR="006540B5" w:rsidRPr="007F2113">
        <w:rPr>
          <w:rFonts w:ascii="Calibri" w:hAnsi="Calibri" w:cs="Calibri"/>
          <w:color w:val="000000" w:themeColor="text1"/>
        </w:rPr>
        <w:t>по темата</w:t>
      </w:r>
      <w:r w:rsidRPr="007F2113">
        <w:rPr>
          <w:rFonts w:ascii="Calibri" w:hAnsi="Calibri" w:cs="Calibri"/>
          <w:color w:val="000000" w:themeColor="text1"/>
        </w:rPr>
        <w:t xml:space="preserve"> за безопасността на храните, като помага на гражданите да вземат информирани решения при ежедневния си избор на храни. За да се постигне това, кампанията Safe2Eat </w:t>
      </w:r>
      <w:r w:rsidR="001C5795">
        <w:rPr>
          <w:rFonts w:ascii="Calibri" w:hAnsi="Calibri" w:cs="Calibri"/>
          <w:color w:val="000000" w:themeColor="text1"/>
        </w:rPr>
        <w:t>с</w:t>
      </w:r>
      <w:r w:rsidRPr="007F2113">
        <w:rPr>
          <w:rFonts w:ascii="Calibri" w:hAnsi="Calibri" w:cs="Calibri"/>
          <w:color w:val="000000" w:themeColor="text1"/>
        </w:rPr>
        <w:t>е</w:t>
      </w:r>
      <w:r w:rsidR="006540B5" w:rsidRPr="007F2113">
        <w:rPr>
          <w:rFonts w:ascii="Calibri" w:hAnsi="Calibri" w:cs="Calibri"/>
          <w:color w:val="000000" w:themeColor="text1"/>
        </w:rPr>
        <w:t xml:space="preserve"> фокусира върху три основни направления</w:t>
      </w:r>
      <w:r w:rsidRPr="007F2113">
        <w:rPr>
          <w:rFonts w:ascii="Calibri" w:hAnsi="Calibri" w:cs="Calibri"/>
          <w:color w:val="000000" w:themeColor="text1"/>
        </w:rPr>
        <w:t>:</w:t>
      </w:r>
    </w:p>
    <w:p w14:paraId="7A2996B0" w14:textId="58DE2FBB" w:rsidR="005026F6" w:rsidRPr="004A49F7" w:rsidRDefault="005026F6" w:rsidP="306495D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55992078" w14:textId="6EB49F17" w:rsidR="005026F6" w:rsidRPr="004A49F7" w:rsidRDefault="0001475A" w:rsidP="00CF228E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</w:rPr>
      </w:pPr>
      <w:r w:rsidRPr="007F2113">
        <w:rPr>
          <w:rFonts w:ascii="Calibri" w:hAnsi="Calibri" w:cs="Calibri"/>
          <w:b/>
          <w:color w:val="000000" w:themeColor="text1"/>
        </w:rPr>
        <w:t>Практики за безопасни храни</w:t>
      </w:r>
      <w:r w:rsidR="005026F6" w:rsidRPr="007F2113">
        <w:rPr>
          <w:rFonts w:ascii="Calibri" w:hAnsi="Calibri" w:cs="Calibri"/>
          <w:color w:val="000000" w:themeColor="text1"/>
        </w:rPr>
        <w:t> —</w:t>
      </w:r>
      <w:r w:rsidR="001C5795">
        <w:rPr>
          <w:rFonts w:ascii="Calibri" w:hAnsi="Calibri" w:cs="Calibri"/>
          <w:color w:val="000000" w:themeColor="text1"/>
        </w:rPr>
        <w:t xml:space="preserve"> </w:t>
      </w:r>
      <w:r w:rsidR="005026F6" w:rsidRPr="007F2113">
        <w:rPr>
          <w:rFonts w:ascii="Calibri" w:hAnsi="Calibri" w:cs="Calibri"/>
          <w:color w:val="000000" w:themeColor="text1"/>
        </w:rPr>
        <w:t xml:space="preserve">европейските, международните и националните правила, </w:t>
      </w:r>
      <w:r w:rsidR="00856470" w:rsidRPr="007F2113">
        <w:rPr>
          <w:rFonts w:ascii="Calibri" w:hAnsi="Calibri" w:cs="Calibri"/>
          <w:color w:val="000000" w:themeColor="text1"/>
        </w:rPr>
        <w:t>основани на н</w:t>
      </w:r>
      <w:r w:rsidR="005026F6" w:rsidRPr="007F2113">
        <w:rPr>
          <w:rFonts w:ascii="Calibri" w:hAnsi="Calibri" w:cs="Calibri"/>
          <w:color w:val="000000" w:themeColor="text1"/>
        </w:rPr>
        <w:t xml:space="preserve">аучни доказателства, гарантират безопасността на храните от „фермата до масата“. </w:t>
      </w:r>
      <w:r w:rsidR="00CF228E" w:rsidRPr="007F2113">
        <w:rPr>
          <w:rFonts w:ascii="Calibri" w:hAnsi="Calibri" w:cs="Calibri"/>
          <w:color w:val="000000" w:themeColor="text1"/>
        </w:rPr>
        <w:t xml:space="preserve">Предоставят </w:t>
      </w:r>
      <w:r w:rsidR="005026F6" w:rsidRPr="007F2113">
        <w:rPr>
          <w:rFonts w:ascii="Calibri" w:hAnsi="Calibri" w:cs="Calibri"/>
          <w:color w:val="000000" w:themeColor="text1"/>
        </w:rPr>
        <w:t xml:space="preserve">се практически съвети за боравене, съхранение, четене на етикети и </w:t>
      </w:r>
      <w:r w:rsidR="00856470" w:rsidRPr="007F2113">
        <w:rPr>
          <w:rFonts w:ascii="Calibri" w:hAnsi="Calibri" w:cs="Calibri"/>
          <w:color w:val="000000" w:themeColor="text1"/>
        </w:rPr>
        <w:t>приготвяне на храни</w:t>
      </w:r>
      <w:r w:rsidR="005026F6" w:rsidRPr="007F2113">
        <w:rPr>
          <w:rFonts w:ascii="Calibri" w:hAnsi="Calibri" w:cs="Calibri"/>
          <w:color w:val="000000" w:themeColor="text1"/>
        </w:rPr>
        <w:t xml:space="preserve">, </w:t>
      </w:r>
      <w:r w:rsidR="00856470" w:rsidRPr="007F2113">
        <w:rPr>
          <w:rFonts w:ascii="Calibri" w:hAnsi="Calibri" w:cs="Calibri"/>
          <w:color w:val="000000" w:themeColor="text1"/>
        </w:rPr>
        <w:t>с цел подпомагане на информирания избор.</w:t>
      </w:r>
    </w:p>
    <w:p w14:paraId="03F2641A" w14:textId="77777777" w:rsidR="005026F6" w:rsidRPr="004A49F7" w:rsidRDefault="005026F6" w:rsidP="306495D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alibri" w:hAnsi="Calibri" w:cs="Calibri"/>
          <w:color w:val="000000" w:themeColor="text1"/>
        </w:rPr>
      </w:pPr>
    </w:p>
    <w:p w14:paraId="6E7F8311" w14:textId="2248253A" w:rsidR="005026F6" w:rsidRPr="004A49F7" w:rsidRDefault="005026F6" w:rsidP="306495D7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</w:rPr>
      </w:pPr>
      <w:r w:rsidRPr="007F2113">
        <w:rPr>
          <w:rFonts w:ascii="Calibri" w:hAnsi="Calibri" w:cs="Calibri"/>
          <w:b/>
          <w:color w:val="000000" w:themeColor="text1"/>
        </w:rPr>
        <w:t>Храната и здраве</w:t>
      </w:r>
      <w:r w:rsidR="00A400C7" w:rsidRPr="007F2113">
        <w:rPr>
          <w:rFonts w:ascii="Calibri" w:hAnsi="Calibri" w:cs="Calibri"/>
          <w:b/>
          <w:color w:val="000000" w:themeColor="text1"/>
        </w:rPr>
        <w:t>то</w:t>
      </w:r>
      <w:r w:rsidRPr="007F2113">
        <w:rPr>
          <w:rFonts w:ascii="Calibri" w:hAnsi="Calibri" w:cs="Calibri"/>
          <w:color w:val="000000" w:themeColor="text1"/>
        </w:rPr>
        <w:t> —</w:t>
      </w:r>
      <w:r w:rsidR="001C5795">
        <w:rPr>
          <w:rFonts w:ascii="Calibri" w:hAnsi="Calibri" w:cs="Calibri"/>
          <w:color w:val="000000" w:themeColor="text1"/>
        </w:rPr>
        <w:t xml:space="preserve"> </w:t>
      </w:r>
      <w:r w:rsidRPr="007F2113">
        <w:rPr>
          <w:rFonts w:ascii="Calibri" w:hAnsi="Calibri" w:cs="Calibri"/>
          <w:color w:val="000000" w:themeColor="text1"/>
        </w:rPr>
        <w:t xml:space="preserve">разнообразното хранене, включващо пресни </w:t>
      </w:r>
      <w:r w:rsidR="00CF228E" w:rsidRPr="007F2113">
        <w:rPr>
          <w:rFonts w:ascii="Calibri" w:hAnsi="Calibri" w:cs="Calibri"/>
          <w:color w:val="000000" w:themeColor="text1"/>
        </w:rPr>
        <w:t>и</w:t>
      </w:r>
      <w:r w:rsidRPr="007F2113">
        <w:rPr>
          <w:rFonts w:ascii="Calibri" w:hAnsi="Calibri" w:cs="Calibri"/>
          <w:color w:val="000000" w:themeColor="text1"/>
        </w:rPr>
        <w:t xml:space="preserve"> преработени </w:t>
      </w:r>
      <w:r w:rsidR="00CF228E" w:rsidRPr="007F2113">
        <w:rPr>
          <w:rFonts w:ascii="Calibri" w:hAnsi="Calibri" w:cs="Calibri"/>
          <w:color w:val="000000" w:themeColor="text1"/>
        </w:rPr>
        <w:t>продукти</w:t>
      </w:r>
      <w:r w:rsidRPr="007F2113">
        <w:rPr>
          <w:rFonts w:ascii="Calibri" w:hAnsi="Calibri" w:cs="Calibri"/>
          <w:color w:val="000000" w:themeColor="text1"/>
        </w:rPr>
        <w:t xml:space="preserve">, допринася за доброто здраве. </w:t>
      </w:r>
      <w:r w:rsidR="00CF228E" w:rsidRPr="007F2113">
        <w:rPr>
          <w:rFonts w:ascii="Calibri" w:hAnsi="Calibri" w:cs="Calibri"/>
          <w:color w:val="000000" w:themeColor="text1"/>
        </w:rPr>
        <w:t>В определени случаи</w:t>
      </w:r>
      <w:r w:rsidRPr="007F2113">
        <w:rPr>
          <w:rFonts w:ascii="Calibri" w:hAnsi="Calibri" w:cs="Calibri"/>
          <w:color w:val="000000" w:themeColor="text1"/>
        </w:rPr>
        <w:t xml:space="preserve"> се препоръчват </w:t>
      </w:r>
      <w:r w:rsidR="00CF228E" w:rsidRPr="007F2113">
        <w:rPr>
          <w:rFonts w:ascii="Calibri" w:hAnsi="Calibri" w:cs="Calibri"/>
          <w:color w:val="000000" w:themeColor="text1"/>
        </w:rPr>
        <w:t xml:space="preserve">специални </w:t>
      </w:r>
      <w:r w:rsidRPr="007F2113">
        <w:rPr>
          <w:rFonts w:ascii="Calibri" w:hAnsi="Calibri" w:cs="Calibri"/>
          <w:color w:val="000000" w:themeColor="text1"/>
        </w:rPr>
        <w:t xml:space="preserve">храни с допълнителни ползи за здравето или хранителни добавки. Кампанията предоставя ясна информация относно хранителните потребности, здравните </w:t>
      </w:r>
      <w:r w:rsidR="00CF228E" w:rsidRPr="007F2113">
        <w:rPr>
          <w:rFonts w:ascii="Calibri" w:hAnsi="Calibri" w:cs="Calibri"/>
          <w:color w:val="000000" w:themeColor="text1"/>
        </w:rPr>
        <w:t xml:space="preserve">твърдения </w:t>
      </w:r>
      <w:r w:rsidRPr="007F2113">
        <w:rPr>
          <w:rFonts w:ascii="Calibri" w:hAnsi="Calibri" w:cs="Calibri"/>
          <w:color w:val="000000" w:themeColor="text1"/>
        </w:rPr>
        <w:t>и научните доказателства, на които те се основават.</w:t>
      </w:r>
    </w:p>
    <w:p w14:paraId="1E423098" w14:textId="77777777" w:rsidR="005026F6" w:rsidRPr="004A49F7" w:rsidRDefault="005026F6" w:rsidP="306495D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</w:rPr>
      </w:pPr>
    </w:p>
    <w:p w14:paraId="2CD41D76" w14:textId="44C8DCE4" w:rsidR="005026F6" w:rsidRPr="004A49F7" w:rsidRDefault="005026F6" w:rsidP="306495D7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</w:rPr>
      </w:pPr>
      <w:r w:rsidRPr="007F2113">
        <w:rPr>
          <w:rFonts w:ascii="Calibri" w:hAnsi="Calibri" w:cs="Calibri"/>
          <w:b/>
          <w:color w:val="000000" w:themeColor="text1"/>
        </w:rPr>
        <w:t xml:space="preserve">Какво съдържа </w:t>
      </w:r>
      <w:r w:rsidR="00A400C7" w:rsidRPr="007F2113">
        <w:rPr>
          <w:rFonts w:ascii="Calibri" w:hAnsi="Calibri" w:cs="Calibri"/>
          <w:b/>
          <w:color w:val="000000" w:themeColor="text1"/>
        </w:rPr>
        <w:t xml:space="preserve">твоята </w:t>
      </w:r>
      <w:r w:rsidRPr="007F2113">
        <w:rPr>
          <w:rFonts w:ascii="Calibri" w:hAnsi="Calibri" w:cs="Calibri"/>
          <w:b/>
          <w:color w:val="000000" w:themeColor="text1"/>
        </w:rPr>
        <w:t xml:space="preserve">храна </w:t>
      </w:r>
      <w:r w:rsidRPr="007F2113">
        <w:rPr>
          <w:rFonts w:ascii="Calibri" w:hAnsi="Calibri" w:cs="Calibri"/>
          <w:color w:val="000000" w:themeColor="text1"/>
        </w:rPr>
        <w:t xml:space="preserve">— европейските регламенти гарантират безопасността на хранителните съставки, включително на добавките и ароматизантите. </w:t>
      </w:r>
      <w:r w:rsidR="00856470" w:rsidRPr="007F2113">
        <w:rPr>
          <w:rFonts w:ascii="Calibri" w:hAnsi="Calibri" w:cs="Calibri"/>
        </w:rPr>
        <w:t>Кампанията разяснява тяхната роля и безопасност, както и значението на коректното етикетиране, включително по отношение на алергените</w:t>
      </w:r>
    </w:p>
    <w:p w14:paraId="719F2690" w14:textId="77777777" w:rsidR="005026F6" w:rsidRPr="004A49F7" w:rsidRDefault="005026F6" w:rsidP="306495D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</w:rPr>
      </w:pPr>
    </w:p>
    <w:p w14:paraId="607AFC20" w14:textId="17A6B975" w:rsidR="005026F6" w:rsidRPr="004A49F7" w:rsidRDefault="005026F6" w:rsidP="306495D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</w:rPr>
      </w:pPr>
      <w:r w:rsidRPr="007F2113">
        <w:rPr>
          <w:rFonts w:ascii="Calibri" w:hAnsi="Calibri" w:cs="Calibri"/>
          <w:color w:val="000000" w:themeColor="text1"/>
        </w:rPr>
        <w:t xml:space="preserve">Кампанията Safe2Eat е насочена към всички граждани — както към тези, които са добре информирани и не се притесняват за безопасността на храните, така и към онези, които са по-загрижени, но и по-слабо информирани. </w:t>
      </w:r>
      <w:r w:rsidR="00731E4D" w:rsidRPr="007F2113">
        <w:rPr>
          <w:rFonts w:ascii="Calibri" w:hAnsi="Calibri" w:cs="Calibri"/>
          <w:color w:val="000000" w:themeColor="text1"/>
        </w:rPr>
        <w:t>Комуникационните материали са създадени</w:t>
      </w:r>
      <w:r w:rsidRPr="007F2113">
        <w:rPr>
          <w:rFonts w:ascii="Calibri" w:hAnsi="Calibri" w:cs="Calibri"/>
          <w:color w:val="000000" w:themeColor="text1"/>
        </w:rPr>
        <w:t xml:space="preserve"> така, че да бъдат </w:t>
      </w:r>
      <w:r w:rsidR="00856470" w:rsidRPr="007F2113">
        <w:rPr>
          <w:rFonts w:ascii="Calibri" w:hAnsi="Calibri" w:cs="Calibri"/>
        </w:rPr>
        <w:t>ясни, полезни и практически приложими, при запазване на балансиран и достъпен тон.</w:t>
      </w:r>
    </w:p>
    <w:p w14:paraId="1AD944A8" w14:textId="3573D109" w:rsidR="005026F6" w:rsidRPr="007F2113" w:rsidRDefault="005026F6" w:rsidP="306495D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38AC3098" w14:textId="7471D38C" w:rsidR="008C1913" w:rsidRPr="007F2113" w:rsidRDefault="008C1913" w:rsidP="306495D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</w:rPr>
      </w:pPr>
      <w:r w:rsidRPr="007F2113">
        <w:rPr>
          <w:rStyle w:val="normaltextrun"/>
          <w:rFonts w:ascii="Calibri" w:hAnsi="Calibri" w:cs="Calibri"/>
          <w:b/>
          <w:color w:val="1A4489"/>
        </w:rPr>
        <w:t>КАК ДА СЕ ВКЛЮЧИТЕ?</w:t>
      </w:r>
    </w:p>
    <w:p w14:paraId="75353FEB" w14:textId="6EA10EAC" w:rsidR="005026F6" w:rsidRPr="004A49F7" w:rsidRDefault="005026F6" w:rsidP="306495D7">
      <w:pPr>
        <w:pStyle w:val="paragraph"/>
        <w:spacing w:before="24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4A49F7">
        <w:rPr>
          <w:rFonts w:ascii="Calibri" w:hAnsi="Calibri" w:cs="Calibri"/>
        </w:rPr>
        <w:t xml:space="preserve">Има </w:t>
      </w:r>
      <w:r w:rsidR="0001475A" w:rsidRPr="007F2113">
        <w:rPr>
          <w:rFonts w:ascii="Calibri" w:hAnsi="Calibri" w:cs="Calibri"/>
        </w:rPr>
        <w:t xml:space="preserve">различни </w:t>
      </w:r>
      <w:r w:rsidRPr="007F2113">
        <w:rPr>
          <w:rFonts w:ascii="Calibri" w:hAnsi="Calibri" w:cs="Calibri"/>
        </w:rPr>
        <w:t>начин</w:t>
      </w:r>
      <w:r w:rsidR="0001475A" w:rsidRPr="007F2113">
        <w:rPr>
          <w:rFonts w:ascii="Calibri" w:hAnsi="Calibri" w:cs="Calibri"/>
        </w:rPr>
        <w:t>и</w:t>
      </w:r>
      <w:r w:rsidRPr="007F2113">
        <w:rPr>
          <w:rFonts w:ascii="Calibri" w:hAnsi="Calibri" w:cs="Calibri"/>
        </w:rPr>
        <w:t xml:space="preserve"> да се включите</w:t>
      </w:r>
      <w:r w:rsidR="0001475A" w:rsidRPr="007F2113">
        <w:rPr>
          <w:rFonts w:ascii="Calibri" w:hAnsi="Calibri" w:cs="Calibri"/>
        </w:rPr>
        <w:t xml:space="preserve"> в кампанията</w:t>
      </w:r>
      <w:r w:rsidRPr="007F2113">
        <w:rPr>
          <w:rFonts w:ascii="Calibri" w:hAnsi="Calibri" w:cs="Calibri"/>
        </w:rPr>
        <w:t>, като много от ресурсите са достъпни на различни езици на ЕС:</w:t>
      </w:r>
    </w:p>
    <w:p w14:paraId="0768FFB7" w14:textId="63951D14" w:rsidR="005026F6" w:rsidRPr="004A49F7" w:rsidRDefault="005026F6" w:rsidP="306495D7">
      <w:pPr>
        <w:pStyle w:val="paragraph"/>
        <w:numPr>
          <w:ilvl w:val="0"/>
          <w:numId w:val="16"/>
        </w:numPr>
        <w:spacing w:before="24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7F2113">
        <w:rPr>
          <w:rFonts w:ascii="Calibri" w:hAnsi="Calibri" w:cs="Calibri"/>
        </w:rPr>
        <w:t xml:space="preserve">Споделете нашите безплатни материали с Вашата </w:t>
      </w:r>
      <w:r w:rsidR="0001475A" w:rsidRPr="007F2113">
        <w:rPr>
          <w:rFonts w:ascii="Calibri" w:hAnsi="Calibri" w:cs="Calibri"/>
        </w:rPr>
        <w:t>общност,</w:t>
      </w:r>
      <w:r w:rsidRPr="007F2113">
        <w:rPr>
          <w:rFonts w:ascii="Calibri" w:hAnsi="Calibri" w:cs="Calibri"/>
        </w:rPr>
        <w:t xml:space="preserve"> за да помогнете на </w:t>
      </w:r>
      <w:r w:rsidR="0001475A" w:rsidRPr="007F2113">
        <w:rPr>
          <w:rFonts w:ascii="Calibri" w:hAnsi="Calibri" w:cs="Calibri"/>
        </w:rPr>
        <w:t>повече хора да разберат</w:t>
      </w:r>
      <w:r w:rsidRPr="007F2113">
        <w:rPr>
          <w:rFonts w:ascii="Calibri" w:hAnsi="Calibri" w:cs="Calibri"/>
        </w:rPr>
        <w:t>, че хран</w:t>
      </w:r>
      <w:r w:rsidR="0001475A" w:rsidRPr="007F2113">
        <w:rPr>
          <w:rFonts w:ascii="Calibri" w:hAnsi="Calibri" w:cs="Calibri"/>
        </w:rPr>
        <w:t>а</w:t>
      </w:r>
      <w:r w:rsidRPr="007F2113">
        <w:rPr>
          <w:rFonts w:ascii="Calibri" w:hAnsi="Calibri" w:cs="Calibri"/>
        </w:rPr>
        <w:t>т</w:t>
      </w:r>
      <w:r w:rsidR="0001475A" w:rsidRPr="007F2113">
        <w:rPr>
          <w:rFonts w:ascii="Calibri" w:hAnsi="Calibri" w:cs="Calibri"/>
        </w:rPr>
        <w:t>а</w:t>
      </w:r>
      <w:r w:rsidRPr="007F2113">
        <w:rPr>
          <w:rFonts w:ascii="Calibri" w:hAnsi="Calibri" w:cs="Calibri"/>
        </w:rPr>
        <w:t xml:space="preserve"> им </w:t>
      </w:r>
      <w:r w:rsidR="0001475A" w:rsidRPr="007F2113">
        <w:rPr>
          <w:rFonts w:ascii="Calibri" w:hAnsi="Calibri" w:cs="Calibri"/>
        </w:rPr>
        <w:t>е</w:t>
      </w:r>
      <w:r w:rsidRPr="007F2113">
        <w:rPr>
          <w:rFonts w:ascii="Calibri" w:hAnsi="Calibri" w:cs="Calibri"/>
        </w:rPr>
        <w:t xml:space="preserve"> безопасн</w:t>
      </w:r>
      <w:r w:rsidR="001C5795">
        <w:rPr>
          <w:rFonts w:ascii="Calibri" w:hAnsi="Calibri" w:cs="Calibri"/>
        </w:rPr>
        <w:t>а</w:t>
      </w:r>
      <w:r w:rsidRPr="007F2113">
        <w:rPr>
          <w:rFonts w:ascii="Calibri" w:hAnsi="Calibri" w:cs="Calibri"/>
        </w:rPr>
        <w:t xml:space="preserve"> за консумация.</w:t>
      </w:r>
    </w:p>
    <w:p w14:paraId="486AB7AD" w14:textId="0F226571" w:rsidR="005026F6" w:rsidRPr="004A49F7" w:rsidRDefault="005026F6" w:rsidP="306495D7">
      <w:pPr>
        <w:pStyle w:val="paragraph"/>
        <w:numPr>
          <w:ilvl w:val="0"/>
          <w:numId w:val="16"/>
        </w:numPr>
        <w:spacing w:before="24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7F2113">
        <w:rPr>
          <w:rFonts w:ascii="Calibri" w:hAnsi="Calibri" w:cs="Calibri"/>
        </w:rPr>
        <w:t xml:space="preserve">Посетете уебсайта на кампанията, </w:t>
      </w:r>
      <w:r w:rsidR="009255FA" w:rsidRPr="007F2113">
        <w:rPr>
          <w:rFonts w:ascii="Calibri" w:hAnsi="Calibri" w:cs="Calibri"/>
        </w:rPr>
        <w:t>където ще откриете</w:t>
      </w:r>
      <w:r w:rsidRPr="007F2113">
        <w:rPr>
          <w:rFonts w:ascii="Calibri" w:hAnsi="Calibri" w:cs="Calibri"/>
        </w:rPr>
        <w:t xml:space="preserve"> практически съвети за избора на храни и </w:t>
      </w:r>
      <w:r w:rsidR="009255FA" w:rsidRPr="007F2113">
        <w:rPr>
          <w:rFonts w:ascii="Calibri" w:hAnsi="Calibri" w:cs="Calibri"/>
        </w:rPr>
        <w:t xml:space="preserve">полезна информация за науката, </w:t>
      </w:r>
      <w:r w:rsidRPr="007F2113">
        <w:rPr>
          <w:rFonts w:ascii="Calibri" w:hAnsi="Calibri" w:cs="Calibri"/>
        </w:rPr>
        <w:t>ко</w:t>
      </w:r>
      <w:r w:rsidR="009255FA" w:rsidRPr="007F2113">
        <w:rPr>
          <w:rFonts w:ascii="Calibri" w:hAnsi="Calibri" w:cs="Calibri"/>
        </w:rPr>
        <w:t>я</w:t>
      </w:r>
      <w:r w:rsidRPr="007F2113">
        <w:rPr>
          <w:rFonts w:ascii="Calibri" w:hAnsi="Calibri" w:cs="Calibri"/>
        </w:rPr>
        <w:t>то гарантира безопасността на храните.</w:t>
      </w:r>
    </w:p>
    <w:p w14:paraId="41153A92" w14:textId="359A4A3D" w:rsidR="005026F6" w:rsidRPr="004A49F7" w:rsidRDefault="005026F6" w:rsidP="306495D7">
      <w:pPr>
        <w:pStyle w:val="paragraph"/>
        <w:numPr>
          <w:ilvl w:val="0"/>
          <w:numId w:val="16"/>
        </w:numPr>
        <w:spacing w:before="24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7F2113">
        <w:rPr>
          <w:rFonts w:ascii="Calibri" w:hAnsi="Calibri" w:cs="Calibri"/>
        </w:rPr>
        <w:t xml:space="preserve">Останете на линия: </w:t>
      </w:r>
      <w:r w:rsidR="009255FA" w:rsidRPr="007F2113">
        <w:rPr>
          <w:rFonts w:ascii="Calibri" w:hAnsi="Calibri" w:cs="Calibri"/>
        </w:rPr>
        <w:t>по</w:t>
      </w:r>
      <w:r w:rsidRPr="007F2113">
        <w:rPr>
          <w:rFonts w:ascii="Calibri" w:hAnsi="Calibri" w:cs="Calibri"/>
        </w:rPr>
        <w:t xml:space="preserve">следвайте </w:t>
      </w:r>
      <w:r w:rsidR="009255FA" w:rsidRPr="007F2113">
        <w:rPr>
          <w:rFonts w:ascii="Calibri" w:hAnsi="Calibri" w:cs="Calibri"/>
          <w:lang w:val="en-GB"/>
        </w:rPr>
        <w:t>EFSA</w:t>
      </w:r>
      <w:r w:rsidR="009255FA" w:rsidRPr="007F2113">
        <w:rPr>
          <w:rFonts w:ascii="Calibri" w:hAnsi="Calibri" w:cs="Calibri"/>
        </w:rPr>
        <w:t xml:space="preserve"> </w:t>
      </w:r>
      <w:r w:rsidRPr="007F2113">
        <w:rPr>
          <w:rFonts w:ascii="Calibri" w:hAnsi="Calibri" w:cs="Calibri"/>
        </w:rPr>
        <w:t xml:space="preserve">в </w:t>
      </w:r>
      <w:proofErr w:type="spellStart"/>
      <w:r w:rsidRPr="007F2113">
        <w:rPr>
          <w:rFonts w:ascii="Calibri" w:hAnsi="Calibri" w:cs="Calibri"/>
        </w:rPr>
        <w:t>LinkedIn</w:t>
      </w:r>
      <w:proofErr w:type="spellEnd"/>
      <w:r w:rsidRPr="007F2113">
        <w:rPr>
          <w:rFonts w:ascii="Calibri" w:hAnsi="Calibri" w:cs="Calibri"/>
        </w:rPr>
        <w:t xml:space="preserve">, </w:t>
      </w:r>
      <w:proofErr w:type="spellStart"/>
      <w:r w:rsidRPr="007F2113">
        <w:rPr>
          <w:rFonts w:ascii="Calibri" w:hAnsi="Calibri" w:cs="Calibri"/>
        </w:rPr>
        <w:t>Instagram</w:t>
      </w:r>
      <w:proofErr w:type="spellEnd"/>
      <w:r w:rsidRPr="007F2113">
        <w:rPr>
          <w:rFonts w:ascii="Calibri" w:hAnsi="Calibri" w:cs="Calibri"/>
        </w:rPr>
        <w:t xml:space="preserve"> и </w:t>
      </w:r>
      <w:proofErr w:type="spellStart"/>
      <w:r w:rsidRPr="007F2113">
        <w:rPr>
          <w:rFonts w:ascii="Calibri" w:hAnsi="Calibri" w:cs="Calibri"/>
        </w:rPr>
        <w:t>YouTube</w:t>
      </w:r>
      <w:proofErr w:type="spellEnd"/>
      <w:r w:rsidRPr="007F2113">
        <w:rPr>
          <w:rFonts w:ascii="Calibri" w:hAnsi="Calibri" w:cs="Calibri"/>
        </w:rPr>
        <w:t xml:space="preserve"> и споделяйте новини за кампанията с Вашите контакти.</w:t>
      </w:r>
    </w:p>
    <w:p w14:paraId="6674BAE5" w14:textId="7B1EC3BF" w:rsidR="005026F6" w:rsidRPr="004A49F7" w:rsidRDefault="005026F6" w:rsidP="306495D7">
      <w:pPr>
        <w:pStyle w:val="paragraph"/>
        <w:numPr>
          <w:ilvl w:val="0"/>
          <w:numId w:val="16"/>
        </w:numPr>
        <w:spacing w:before="24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7F2113">
        <w:rPr>
          <w:rFonts w:ascii="Calibri" w:hAnsi="Calibri" w:cs="Calibri"/>
        </w:rPr>
        <w:t xml:space="preserve">Подкрепете нашите общи усилия за осигуряване на безопасни храни и за провеждане на научни изследвания в тази област, като използвате хаштага на кампанията </w:t>
      </w:r>
      <w:r w:rsidRPr="007F2113">
        <w:rPr>
          <w:rFonts w:ascii="Calibri" w:hAnsi="Calibri" w:cs="Calibri"/>
          <w:b/>
        </w:rPr>
        <w:t>#EUSafe2Eat</w:t>
      </w:r>
      <w:r w:rsidR="009255FA" w:rsidRPr="007F2113">
        <w:rPr>
          <w:rFonts w:ascii="Calibri" w:hAnsi="Calibri" w:cs="Calibri"/>
          <w:lang w:val="en-GB"/>
        </w:rPr>
        <w:t xml:space="preserve"> </w:t>
      </w:r>
      <w:r w:rsidR="009255FA" w:rsidRPr="007F2113">
        <w:rPr>
          <w:rFonts w:ascii="Calibri" w:hAnsi="Calibri" w:cs="Calibri"/>
        </w:rPr>
        <w:t xml:space="preserve">и по този начин </w:t>
      </w:r>
      <w:r w:rsidRPr="007F2113">
        <w:rPr>
          <w:rFonts w:ascii="Calibri" w:hAnsi="Calibri" w:cs="Calibri"/>
        </w:rPr>
        <w:t>популяризирате дейностите по нея.</w:t>
      </w:r>
    </w:p>
    <w:p w14:paraId="51F8B9B9" w14:textId="6648826D" w:rsidR="008C1913" w:rsidRPr="007F2113" w:rsidRDefault="009255FA" w:rsidP="306495D7">
      <w:pPr>
        <w:pStyle w:val="paragraph"/>
        <w:spacing w:before="24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</w:rPr>
      </w:pPr>
      <w:r w:rsidRPr="007F2113">
        <w:rPr>
          <w:rStyle w:val="normaltextrun"/>
          <w:rFonts w:ascii="Calibri" w:hAnsi="Calibri" w:cs="Calibri"/>
          <w:b/>
          <w:color w:val="1A4489"/>
        </w:rPr>
        <w:t>Материали</w:t>
      </w:r>
      <w:r w:rsidR="008C1913" w:rsidRPr="007F2113">
        <w:rPr>
          <w:rStyle w:val="normaltextrun"/>
          <w:rFonts w:ascii="Calibri" w:hAnsi="Calibri" w:cs="Calibri"/>
          <w:b/>
          <w:color w:val="1A4489"/>
        </w:rPr>
        <w:t xml:space="preserve"> за кампанията</w:t>
      </w:r>
    </w:p>
    <w:p w14:paraId="6C95E842" w14:textId="77777777" w:rsidR="008C1913" w:rsidRPr="007F2113" w:rsidRDefault="008C1913" w:rsidP="306495D7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7ACDD9A7" w14:textId="21685F08" w:rsidR="005026F6" w:rsidRPr="004A49F7" w:rsidRDefault="009255FA" w:rsidP="306495D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4A49F7">
        <w:rPr>
          <w:rFonts w:ascii="Calibri" w:hAnsi="Calibri" w:cs="Calibri"/>
        </w:rPr>
        <w:t>Информационните ресурси</w:t>
      </w:r>
      <w:r w:rsidR="005026F6" w:rsidRPr="007F2113">
        <w:rPr>
          <w:rFonts w:ascii="Calibri" w:hAnsi="Calibri" w:cs="Calibri"/>
        </w:rPr>
        <w:t xml:space="preserve"> на кампанията </w:t>
      </w:r>
      <w:r w:rsidRPr="007F2113">
        <w:rPr>
          <w:rFonts w:ascii="Calibri" w:hAnsi="Calibri" w:cs="Calibri"/>
        </w:rPr>
        <w:t>представляват</w:t>
      </w:r>
      <w:r w:rsidR="005026F6" w:rsidRPr="007F2113">
        <w:rPr>
          <w:rFonts w:ascii="Calibri" w:hAnsi="Calibri" w:cs="Calibri"/>
        </w:rPr>
        <w:t xml:space="preserve"> материали за заинтересованите страни на национално равнище, като улеснява</w:t>
      </w:r>
      <w:r w:rsidRPr="007F2113">
        <w:rPr>
          <w:rFonts w:ascii="Calibri" w:hAnsi="Calibri" w:cs="Calibri"/>
        </w:rPr>
        <w:t>т</w:t>
      </w:r>
      <w:r w:rsidR="005026F6" w:rsidRPr="007F2113">
        <w:rPr>
          <w:rFonts w:ascii="Calibri" w:hAnsi="Calibri" w:cs="Calibri"/>
        </w:rPr>
        <w:t xml:space="preserve"> разпространението и увеличава</w:t>
      </w:r>
      <w:r w:rsidRPr="007F2113">
        <w:rPr>
          <w:rFonts w:ascii="Calibri" w:hAnsi="Calibri" w:cs="Calibri"/>
        </w:rPr>
        <w:t>т</w:t>
      </w:r>
      <w:r w:rsidR="005026F6" w:rsidRPr="007F2113">
        <w:rPr>
          <w:rFonts w:ascii="Calibri" w:hAnsi="Calibri" w:cs="Calibri"/>
        </w:rPr>
        <w:t xml:space="preserve"> максимално обхвата:</w:t>
      </w:r>
    </w:p>
    <w:p w14:paraId="6F93AE79" w14:textId="77777777" w:rsidR="005026F6" w:rsidRPr="004A49F7" w:rsidRDefault="005026F6" w:rsidP="306495D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04B61E3D" w14:textId="3D91425F" w:rsidR="005026F6" w:rsidRPr="004A49F7" w:rsidRDefault="005026F6" w:rsidP="306495D7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7F2113">
        <w:rPr>
          <w:rFonts w:ascii="Calibri" w:hAnsi="Calibri" w:cs="Calibri"/>
          <w:b/>
        </w:rPr>
        <w:t>Информацион</w:t>
      </w:r>
      <w:r w:rsidR="009255FA" w:rsidRPr="007F2113">
        <w:rPr>
          <w:rFonts w:ascii="Calibri" w:hAnsi="Calibri" w:cs="Calibri"/>
          <w:b/>
        </w:rPr>
        <w:t>е</w:t>
      </w:r>
      <w:r w:rsidRPr="007F2113">
        <w:rPr>
          <w:rFonts w:ascii="Calibri" w:hAnsi="Calibri" w:cs="Calibri"/>
          <w:b/>
        </w:rPr>
        <w:t xml:space="preserve">н </w:t>
      </w:r>
      <w:r w:rsidR="009255FA" w:rsidRPr="007F2113">
        <w:rPr>
          <w:rFonts w:ascii="Calibri" w:hAnsi="Calibri" w:cs="Calibri"/>
          <w:b/>
        </w:rPr>
        <w:t>документ</w:t>
      </w:r>
      <w:r w:rsidRPr="007F2113">
        <w:rPr>
          <w:rFonts w:ascii="Calibri" w:hAnsi="Calibri" w:cs="Calibri"/>
          <w:b/>
        </w:rPr>
        <w:t xml:space="preserve"> на кампанията</w:t>
      </w:r>
      <w:r w:rsidRPr="007F2113">
        <w:rPr>
          <w:rFonts w:ascii="Calibri" w:hAnsi="Calibri" w:cs="Calibri"/>
        </w:rPr>
        <w:t xml:space="preserve"> — </w:t>
      </w:r>
      <w:r w:rsidR="009C3A77" w:rsidRPr="007F2113">
        <w:rPr>
          <w:rFonts w:ascii="Calibri" w:hAnsi="Calibri" w:cs="Calibri"/>
        </w:rPr>
        <w:t xml:space="preserve">представя </w:t>
      </w:r>
      <w:r w:rsidRPr="007F2113">
        <w:rPr>
          <w:rFonts w:ascii="Calibri" w:hAnsi="Calibri" w:cs="Calibri"/>
        </w:rPr>
        <w:t xml:space="preserve">целите, темите, целевата аудитория и стила на комуникация на кампанията. </w:t>
      </w:r>
      <w:r w:rsidR="009255FA" w:rsidRPr="007F2113">
        <w:rPr>
          <w:rFonts w:ascii="Calibri" w:hAnsi="Calibri" w:cs="Calibri"/>
        </w:rPr>
        <w:t>М</w:t>
      </w:r>
      <w:r w:rsidRPr="007F2113">
        <w:rPr>
          <w:rFonts w:ascii="Calibri" w:hAnsi="Calibri" w:cs="Calibri"/>
        </w:rPr>
        <w:t xml:space="preserve">оже да се използва за разработване на съдържание или да се споделя в настоящия </w:t>
      </w:r>
      <w:r w:rsidR="009255FA" w:rsidRPr="007F2113">
        <w:rPr>
          <w:rFonts w:ascii="Calibri" w:hAnsi="Calibri" w:cs="Calibri"/>
        </w:rPr>
        <w:t>му</w:t>
      </w:r>
      <w:r w:rsidRPr="007F2113">
        <w:rPr>
          <w:rFonts w:ascii="Calibri" w:hAnsi="Calibri" w:cs="Calibri"/>
        </w:rPr>
        <w:t xml:space="preserve"> вид.</w:t>
      </w:r>
    </w:p>
    <w:p w14:paraId="58125C2B" w14:textId="350C3E10" w:rsidR="72E75FE9" w:rsidRPr="004A49F7" w:rsidRDefault="72E75FE9" w:rsidP="306495D7">
      <w:pPr>
        <w:pStyle w:val="paragraph"/>
        <w:spacing w:before="0" w:beforeAutospacing="0" w:after="0" w:afterAutospacing="0"/>
        <w:ind w:left="720"/>
        <w:jc w:val="both"/>
        <w:rPr>
          <w:rFonts w:ascii="Calibri" w:hAnsi="Calibri" w:cs="Calibri"/>
        </w:rPr>
      </w:pPr>
    </w:p>
    <w:p w14:paraId="672C9D80" w14:textId="5AC649DB" w:rsidR="005026F6" w:rsidRPr="004A49F7" w:rsidRDefault="005026F6" w:rsidP="306495D7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7F2113">
        <w:rPr>
          <w:rFonts w:ascii="Calibri" w:hAnsi="Calibri" w:cs="Calibri"/>
          <w:b/>
        </w:rPr>
        <w:t>Основни визуални материали</w:t>
      </w:r>
      <w:r w:rsidRPr="007F2113">
        <w:rPr>
          <w:rFonts w:ascii="Calibri" w:hAnsi="Calibri" w:cs="Calibri"/>
        </w:rPr>
        <w:t xml:space="preserve"> — </w:t>
      </w:r>
      <w:r w:rsidR="009C3A77" w:rsidRPr="007F2113">
        <w:rPr>
          <w:rFonts w:ascii="Calibri" w:hAnsi="Calibri" w:cs="Calibri"/>
        </w:rPr>
        <w:t xml:space="preserve">включват </w:t>
      </w:r>
      <w:r w:rsidRPr="007F2113">
        <w:rPr>
          <w:rFonts w:ascii="Calibri" w:hAnsi="Calibri" w:cs="Calibri"/>
        </w:rPr>
        <w:t xml:space="preserve">статични визуални материали, обхващащи всички теми на кампанията, достъпни на местните езици, за използване в уебсайтове, социални медии, бюлетини и други </w:t>
      </w:r>
      <w:r w:rsidR="009C3A77" w:rsidRPr="007F2113">
        <w:rPr>
          <w:rFonts w:ascii="Calibri" w:hAnsi="Calibri" w:cs="Calibri"/>
        </w:rPr>
        <w:t>подходящи канали.</w:t>
      </w:r>
      <w:r w:rsidRPr="007F2113">
        <w:rPr>
          <w:rFonts w:ascii="Calibri" w:hAnsi="Calibri" w:cs="Calibri"/>
        </w:rPr>
        <w:t xml:space="preserve"> Визуалните материали се предоставят както готови за употреба, така и във формати за редактиране.</w:t>
      </w:r>
    </w:p>
    <w:p w14:paraId="715A6457" w14:textId="15AA460C" w:rsidR="72E75FE9" w:rsidRPr="004A49F7" w:rsidRDefault="72E75FE9" w:rsidP="306495D7">
      <w:pPr>
        <w:pStyle w:val="paragraph"/>
        <w:spacing w:before="0" w:beforeAutospacing="0" w:after="0" w:afterAutospacing="0"/>
        <w:ind w:left="720"/>
        <w:jc w:val="both"/>
        <w:rPr>
          <w:rFonts w:ascii="Calibri" w:hAnsi="Calibri" w:cs="Calibri"/>
        </w:rPr>
      </w:pPr>
    </w:p>
    <w:p w14:paraId="20F9A94F" w14:textId="625ECE16" w:rsidR="4A48AB81" w:rsidRPr="004A49F7" w:rsidRDefault="4A48AB81" w:rsidP="306495D7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7F2113">
        <w:rPr>
          <w:rFonts w:ascii="Calibri" w:hAnsi="Calibri" w:cs="Calibri"/>
          <w:b/>
        </w:rPr>
        <w:t>Съобщение за пресата</w:t>
      </w:r>
      <w:r w:rsidRPr="007F2113">
        <w:rPr>
          <w:rFonts w:ascii="Calibri" w:hAnsi="Calibri" w:cs="Calibri"/>
        </w:rPr>
        <w:t> — с него се обявява началото на шестата година от кампанията</w:t>
      </w:r>
      <w:r w:rsidR="009255FA" w:rsidRPr="007F2113">
        <w:rPr>
          <w:rFonts w:ascii="Calibri" w:hAnsi="Calibri" w:cs="Calibri"/>
        </w:rPr>
        <w:t>.</w:t>
      </w:r>
      <w:r w:rsidRPr="007F2113">
        <w:rPr>
          <w:rFonts w:ascii="Calibri" w:hAnsi="Calibri" w:cs="Calibri"/>
        </w:rPr>
        <w:t xml:space="preserve"> </w:t>
      </w:r>
      <w:r w:rsidR="009255FA" w:rsidRPr="007F2113">
        <w:rPr>
          <w:rFonts w:ascii="Calibri" w:hAnsi="Calibri" w:cs="Calibri"/>
        </w:rPr>
        <w:t>Т</w:t>
      </w:r>
      <w:r w:rsidRPr="007F2113">
        <w:rPr>
          <w:rFonts w:ascii="Calibri" w:hAnsi="Calibri" w:cs="Calibri"/>
        </w:rPr>
        <w:t>о може да бъде разпространявано в настоящия му вид или адаптирано за национално разпространение.</w:t>
      </w:r>
    </w:p>
    <w:p w14:paraId="47E3B945" w14:textId="66962F71" w:rsidR="72E75FE9" w:rsidRPr="004A49F7" w:rsidRDefault="72E75FE9" w:rsidP="306495D7">
      <w:pPr>
        <w:pStyle w:val="paragraph"/>
        <w:spacing w:before="0" w:beforeAutospacing="0" w:after="0" w:afterAutospacing="0"/>
        <w:ind w:left="720"/>
        <w:jc w:val="both"/>
        <w:rPr>
          <w:rFonts w:ascii="Calibri" w:hAnsi="Calibri" w:cs="Calibri"/>
        </w:rPr>
      </w:pPr>
    </w:p>
    <w:p w14:paraId="4C65E112" w14:textId="792AFC60" w:rsidR="4A48AB81" w:rsidRPr="004A49F7" w:rsidRDefault="00E3391A" w:rsidP="306495D7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7F2113">
        <w:rPr>
          <w:rFonts w:ascii="Calibri" w:hAnsi="Calibri" w:cs="Calibri"/>
          <w:b/>
        </w:rPr>
        <w:t>П</w:t>
      </w:r>
      <w:r w:rsidR="4A48AB81" w:rsidRPr="007F2113">
        <w:rPr>
          <w:rFonts w:ascii="Calibri" w:hAnsi="Calibri" w:cs="Calibri"/>
          <w:b/>
        </w:rPr>
        <w:t>убликации за социалните медии</w:t>
      </w:r>
      <w:r w:rsidR="4A48AB81" w:rsidRPr="007F2113">
        <w:rPr>
          <w:rFonts w:ascii="Calibri" w:hAnsi="Calibri" w:cs="Calibri"/>
        </w:rPr>
        <w:t xml:space="preserve"> — </w:t>
      </w:r>
      <w:r w:rsidRPr="007F2113">
        <w:rPr>
          <w:rFonts w:ascii="Calibri" w:hAnsi="Calibri" w:cs="Calibri"/>
        </w:rPr>
        <w:t>публикации</w:t>
      </w:r>
      <w:r w:rsidR="4A48AB81" w:rsidRPr="007F2113">
        <w:rPr>
          <w:rFonts w:ascii="Calibri" w:hAnsi="Calibri" w:cs="Calibri"/>
        </w:rPr>
        <w:t xml:space="preserve"> на местните езици, които могат да се споделят в социалните медии чрез официалния хаштаг </w:t>
      </w:r>
      <w:r w:rsidR="4A48AB81" w:rsidRPr="007F2113">
        <w:rPr>
          <w:rFonts w:ascii="Calibri" w:hAnsi="Calibri" w:cs="Calibri"/>
          <w:b/>
        </w:rPr>
        <w:t>#Safe2EatEU</w:t>
      </w:r>
      <w:r w:rsidR="4A48AB81" w:rsidRPr="007F2113">
        <w:rPr>
          <w:rFonts w:ascii="Calibri" w:hAnsi="Calibri" w:cs="Calibri"/>
        </w:rPr>
        <w:t xml:space="preserve">. За по-голяма видимост отбелязвайте </w:t>
      </w:r>
      <w:r w:rsidRPr="007F2113">
        <w:rPr>
          <w:rFonts w:ascii="Calibri" w:hAnsi="Calibri" w:cs="Calibri"/>
          <w:lang w:val="en-GB"/>
        </w:rPr>
        <w:t>EFSA</w:t>
      </w:r>
      <w:r w:rsidR="4A48AB81" w:rsidRPr="007F2113">
        <w:rPr>
          <w:rFonts w:ascii="Calibri" w:hAnsi="Calibri" w:cs="Calibri"/>
        </w:rPr>
        <w:t xml:space="preserve"> при споделяне на съдържание.</w:t>
      </w:r>
    </w:p>
    <w:p w14:paraId="774DBAD8" w14:textId="6BFC4321" w:rsidR="72E75FE9" w:rsidRPr="004A49F7" w:rsidRDefault="72E75FE9" w:rsidP="306495D7">
      <w:pPr>
        <w:pStyle w:val="paragraph"/>
        <w:spacing w:before="0" w:beforeAutospacing="0" w:after="0" w:afterAutospacing="0"/>
        <w:ind w:left="720"/>
        <w:jc w:val="both"/>
        <w:rPr>
          <w:rFonts w:ascii="Calibri" w:hAnsi="Calibri" w:cs="Calibri"/>
        </w:rPr>
      </w:pPr>
    </w:p>
    <w:p w14:paraId="1AF16B6A" w14:textId="0EAB2F86" w:rsidR="4A48AB81" w:rsidRPr="004A49F7" w:rsidRDefault="4A48AB81" w:rsidP="306495D7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7F2113">
        <w:rPr>
          <w:rFonts w:ascii="Calibri" w:hAnsi="Calibri" w:cs="Calibri"/>
          <w:b/>
        </w:rPr>
        <w:lastRenderedPageBreak/>
        <w:t>Материали за конкретни инициативи</w:t>
      </w:r>
      <w:r w:rsidRPr="007F2113">
        <w:rPr>
          <w:rFonts w:ascii="Calibri" w:hAnsi="Calibri" w:cs="Calibri"/>
        </w:rPr>
        <w:t> — специални материали за конкретни инициативи, като например Световния ден на безопасността на храните или инфографики като „Печете на скара, но разумно“, създадени с цел да се привлече вниманието и да се повиши осведомеността на обществеността по ключови теми.</w:t>
      </w:r>
    </w:p>
    <w:p w14:paraId="3408D377" w14:textId="5F214DDA" w:rsidR="72E75FE9" w:rsidRPr="004A49F7" w:rsidRDefault="72E75FE9" w:rsidP="233A23EE">
      <w:pPr>
        <w:pStyle w:val="paragraph"/>
        <w:spacing w:before="0" w:beforeAutospacing="0" w:after="0" w:afterAutospacing="0"/>
        <w:ind w:left="720"/>
        <w:jc w:val="both"/>
        <w:rPr>
          <w:rFonts w:ascii="Calibri" w:hAnsi="Calibri" w:cs="Calibri"/>
        </w:rPr>
      </w:pPr>
    </w:p>
    <w:p w14:paraId="6AA59D41" w14:textId="77777777" w:rsidR="008C1913" w:rsidRPr="004A49F7" w:rsidRDefault="008C1913" w:rsidP="233A23E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3408A4B9" w14:textId="27CC9708" w:rsidR="007D5D77" w:rsidRPr="007F2113" w:rsidRDefault="008C1913" w:rsidP="233A23EE">
      <w:pPr>
        <w:pStyle w:val="paragraph"/>
        <w:spacing w:before="24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</w:rPr>
      </w:pPr>
      <w:r w:rsidRPr="007F2113">
        <w:rPr>
          <w:rStyle w:val="normaltextrun"/>
          <w:rFonts w:ascii="Calibri" w:hAnsi="Calibri" w:cs="Calibri"/>
          <w:b/>
          <w:color w:val="1A4489"/>
        </w:rPr>
        <w:t>За контакт</w:t>
      </w:r>
    </w:p>
    <w:p w14:paraId="1CFF571D" w14:textId="77777777" w:rsidR="007D5D77" w:rsidRPr="004A49F7" w:rsidRDefault="007D5D77" w:rsidP="72E75FE9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</w:rPr>
      </w:pPr>
    </w:p>
    <w:p w14:paraId="09C4771C" w14:textId="6ECACEA4" w:rsidR="008C1913" w:rsidRPr="004A49F7" w:rsidRDefault="004F29C5" w:rsidP="72E75FE9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</w:rPr>
      </w:pPr>
      <w:hyperlink r:id="rId12">
        <w:r w:rsidR="006A5074" w:rsidRPr="007F2113">
          <w:rPr>
            <w:rStyle w:val="normaltextrun"/>
            <w:rFonts w:ascii="Calibri" w:hAnsi="Calibri" w:cs="Calibri"/>
            <w:b/>
            <w:color w:val="0000FF"/>
            <w:u w:val="single"/>
          </w:rPr>
          <w:t>Служба на ЕОБХ за връзка с медиите</w:t>
        </w:r>
      </w:hyperlink>
    </w:p>
    <w:p w14:paraId="511A1BA1" w14:textId="11B1D05C" w:rsidR="008C1913" w:rsidRPr="004A49F7" w:rsidRDefault="008C1913" w:rsidP="306495D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="Calibri" w:hAnsi="Calibri" w:cs="Calibri"/>
        </w:rPr>
      </w:pPr>
      <w:r w:rsidRPr="007F2113">
        <w:rPr>
          <w:rStyle w:val="normaltextrun"/>
          <w:rFonts w:ascii="Calibri" w:hAnsi="Calibri" w:cs="Calibri"/>
        </w:rPr>
        <w:t>Телефон: +39 0521 036 149</w:t>
      </w:r>
    </w:p>
    <w:p w14:paraId="71A2D1A2" w14:textId="35EF8BCF" w:rsidR="008C1913" w:rsidRPr="004A49F7" w:rsidRDefault="008C1913" w:rsidP="72E75FE9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</w:rPr>
      </w:pPr>
      <w:r w:rsidRPr="007F2113">
        <w:rPr>
          <w:rStyle w:val="normaltextrun"/>
          <w:rFonts w:ascii="Calibri" w:hAnsi="Calibri" w:cs="Calibri"/>
        </w:rPr>
        <w:t>Електронна поща:</w:t>
      </w:r>
      <w:r w:rsidR="00E3391A" w:rsidRPr="007F2113">
        <w:rPr>
          <w:rStyle w:val="normaltextrun"/>
          <w:rFonts w:ascii="Calibri" w:hAnsi="Calibri" w:cs="Calibri"/>
        </w:rPr>
        <w:t xml:space="preserve"> </w:t>
      </w:r>
      <w:hyperlink r:id="rId13">
        <w:r w:rsidRPr="007F2113">
          <w:rPr>
            <w:rStyle w:val="normaltextrun"/>
            <w:rFonts w:ascii="Calibri" w:hAnsi="Calibri" w:cs="Calibri"/>
            <w:color w:val="0000FF"/>
            <w:u w:val="single"/>
          </w:rPr>
          <w:t>press@efsa.europa.eu</w:t>
        </w:r>
      </w:hyperlink>
    </w:p>
    <w:p w14:paraId="0E5122D3" w14:textId="7498F38A" w:rsidR="008C1913" w:rsidRPr="004A49F7" w:rsidRDefault="008C1913" w:rsidP="72E75FE9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</w:rPr>
      </w:pPr>
    </w:p>
    <w:p w14:paraId="59B1AC94" w14:textId="2AC3E65A" w:rsidR="008C1913" w:rsidRPr="007F2113" w:rsidRDefault="008C1913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4098CB10" w14:textId="77777777" w:rsidR="00795E02" w:rsidRPr="007F2113" w:rsidRDefault="00795E02" w:rsidP="008C1913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795E02" w:rsidRPr="007F2113" w:rsidSect="0084348D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217" w:right="1274" w:bottom="1134" w:left="1701" w:header="68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A621F" w14:textId="77777777" w:rsidR="004F29C5" w:rsidRPr="004D7BA9" w:rsidRDefault="004F29C5" w:rsidP="005B3B3E">
      <w:r w:rsidRPr="004D7BA9">
        <w:separator/>
      </w:r>
    </w:p>
  </w:endnote>
  <w:endnote w:type="continuationSeparator" w:id="0">
    <w:p w14:paraId="6A74119A" w14:textId="77777777" w:rsidR="004F29C5" w:rsidRPr="004D7BA9" w:rsidRDefault="004F29C5" w:rsidP="005B3B3E">
      <w:r w:rsidRPr="004D7B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246A65" w:rsidRPr="004D7BA9" w14:paraId="17312F4D" w14:textId="77777777">
      <w:tc>
        <w:tcPr>
          <w:tcW w:w="8505" w:type="dxa"/>
        </w:tcPr>
        <w:p w14:paraId="4C594176" w14:textId="77777777" w:rsidR="00246A65" w:rsidRPr="004D7BA9" w:rsidRDefault="00246A65" w:rsidP="00246A65">
          <w:pPr>
            <w:pStyle w:val="Footer"/>
            <w:rPr>
              <w:lang w:val="it-IT"/>
            </w:rPr>
          </w:pPr>
        </w:p>
      </w:tc>
    </w:tr>
  </w:tbl>
  <w:p w14:paraId="54F051DF" w14:textId="77777777" w:rsidR="00246A65" w:rsidRPr="004D7BA9" w:rsidRDefault="00246A65" w:rsidP="00246A65">
    <w:pPr>
      <w:pStyle w:val="Footer"/>
      <w:rPr>
        <w:lang w:val="it-IT"/>
      </w:rPr>
    </w:pPr>
  </w:p>
  <w:p w14:paraId="2281BAFE" w14:textId="77777777" w:rsidR="00246A65" w:rsidRPr="004D7BA9" w:rsidRDefault="00246A65" w:rsidP="00246A65">
    <w:pPr>
      <w:pStyle w:val="Footer"/>
      <w:rPr>
        <w:lang w:val="it-IT"/>
      </w:rPr>
    </w:pPr>
  </w:p>
  <w:p w14:paraId="65EF7A16" w14:textId="77777777" w:rsidR="00246A65" w:rsidRPr="004D7BA9" w:rsidRDefault="00246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246A65" w:rsidRPr="004D7BA9" w14:paraId="50EE72E8" w14:textId="77777777" w:rsidTr="00246A65">
      <w:tc>
        <w:tcPr>
          <w:tcW w:w="8505" w:type="dxa"/>
        </w:tcPr>
        <w:p w14:paraId="31241961" w14:textId="77777777" w:rsidR="00246A65" w:rsidRPr="004D7BA9" w:rsidRDefault="00246A65" w:rsidP="00EA7E45">
          <w:pPr>
            <w:pStyle w:val="Footer"/>
            <w:rPr>
              <w:lang w:val="it-IT"/>
            </w:rPr>
          </w:pPr>
        </w:p>
      </w:tc>
    </w:tr>
  </w:tbl>
  <w:p w14:paraId="66BB11DC" w14:textId="77777777" w:rsidR="00EA7E45" w:rsidRPr="004D7BA9" w:rsidRDefault="00EA7E45" w:rsidP="00EA7E45">
    <w:pPr>
      <w:pStyle w:val="Footer"/>
      <w:rPr>
        <w:lang w:val="it-IT"/>
      </w:rPr>
    </w:pPr>
  </w:p>
  <w:p w14:paraId="31A90E1F" w14:textId="77777777" w:rsidR="00EA7E45" w:rsidRPr="004D7BA9" w:rsidRDefault="00EA7E45" w:rsidP="00EA7E45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86A84" w14:textId="77777777" w:rsidR="004F29C5" w:rsidRPr="004D7BA9" w:rsidRDefault="004F29C5" w:rsidP="005B3B3E">
      <w:r w:rsidRPr="004D7BA9">
        <w:separator/>
      </w:r>
    </w:p>
  </w:footnote>
  <w:footnote w:type="continuationSeparator" w:id="0">
    <w:p w14:paraId="21CCCD0C" w14:textId="77777777" w:rsidR="004F29C5" w:rsidRPr="004D7BA9" w:rsidRDefault="004F29C5" w:rsidP="005B3B3E">
      <w:r w:rsidRPr="004D7B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809B9" w14:textId="3868CFDB" w:rsidR="00EA7E45" w:rsidRPr="004D7BA9" w:rsidRDefault="00246A65" w:rsidP="00EA7E45">
    <w:pPr>
      <w:pStyle w:val="Header"/>
      <w:jc w:val="right"/>
    </w:pPr>
    <w:r w:rsidRPr="004D7BA9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857C6FB" wp14:editId="3F84436B">
              <wp:simplePos x="0" y="0"/>
              <wp:positionH relativeFrom="column">
                <wp:posOffset>1690</wp:posOffset>
              </wp:positionH>
              <wp:positionV relativeFrom="paragraph">
                <wp:posOffset>-36365</wp:posOffset>
              </wp:positionV>
              <wp:extent cx="901521" cy="76840"/>
              <wp:effectExtent l="0" t="0" r="0" b="0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521" cy="76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AC8784" w14:textId="77777777" w:rsidR="004D7BA9" w:rsidRPr="004D7BA9" w:rsidRDefault="004D7BA9" w:rsidP="004D7BA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857C6FB" id="Rectangle 35" o:spid="_x0000_s1026" style="position:absolute;left:0;text-align:left;margin-left:.15pt;margin-top:-2.85pt;width:71pt;height:6.05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" fillcolor="white [3212]" stroked="f" strokeweight="1pt">
              <v:textbox>
                <w:txbxContent>
                  <w:p w14:paraId="7AAC8784" w14:textId="77777777" w:rsidR="004D7BA9" w:rsidRPr="004D7BA9" w:rsidRDefault="004D7BA9" w:rsidP="004D7BA9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4D7BA9">
      <w:rPr>
        <w:noProof/>
        <w:lang w:eastAsia="bg-BG"/>
      </w:rPr>
      <w:drawing>
        <wp:anchor distT="0" distB="0" distL="114300" distR="114300" simplePos="0" relativeHeight="251658244" behindDoc="0" locked="0" layoutInCell="1" allowOverlap="1" wp14:anchorId="1754975B" wp14:editId="233F3907">
          <wp:simplePos x="0" y="0"/>
          <wp:positionH relativeFrom="column">
            <wp:posOffset>5159375</wp:posOffset>
          </wp:positionH>
          <wp:positionV relativeFrom="paragraph">
            <wp:posOffset>-192799</wp:posOffset>
          </wp:positionV>
          <wp:extent cx="775992" cy="764746"/>
          <wp:effectExtent l="0" t="0" r="0" b="0"/>
          <wp:wrapNone/>
          <wp:docPr id="1007451324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7BA9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4B7B9982" wp14:editId="5FBCF381">
              <wp:simplePos x="0" y="0"/>
              <wp:positionH relativeFrom="column">
                <wp:posOffset>-1092492</wp:posOffset>
              </wp:positionH>
              <wp:positionV relativeFrom="paragraph">
                <wp:posOffset>-435610</wp:posOffset>
              </wp:positionV>
              <wp:extent cx="7577455" cy="1235676"/>
              <wp:effectExtent l="0" t="0" r="4445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7455" cy="1235676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29897D" w14:textId="77777777" w:rsidR="00795E02" w:rsidRPr="004D7BA9" w:rsidRDefault="00795E02" w:rsidP="00795E02">
                          <w:pPr>
                            <w:pStyle w:val="Heading4"/>
                          </w:pPr>
                        </w:p>
                        <w:p w14:paraId="5C8C5574" w14:textId="77777777" w:rsidR="00795E02" w:rsidRPr="004D7BA9" w:rsidRDefault="00795E02" w:rsidP="00795E02">
                          <w:pPr>
                            <w:pStyle w:val="Heading4"/>
                          </w:pPr>
                        </w:p>
                        <w:p w14:paraId="0EB72334" w14:textId="77777777" w:rsidR="00795E02" w:rsidRPr="004D7BA9" w:rsidRDefault="00795E02" w:rsidP="00795E02">
                          <w:pPr>
                            <w:pStyle w:val="Heading3"/>
                          </w:pPr>
                        </w:p>
                        <w:p w14:paraId="22CE3020" w14:textId="77777777" w:rsidR="00795E02" w:rsidRPr="004D7BA9" w:rsidRDefault="00795E02" w:rsidP="00795E0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7B9982" id="Rectangle 14" o:spid="_x0000_s1027" style="position:absolute;left:0;text-align:left;margin-left:-86pt;margin-top:-34.3pt;width:596.65pt;height:97.3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" fillcolor="#787878" stroked="f" strokeweight="1pt">
              <v:textbox>
                <w:txbxContent>
                  <w:p w14:paraId="2829897D" w14:textId="77777777" w:rsidR="00795E02" w:rsidRPr="004D7BA9" w:rsidRDefault="00795E02" w:rsidP="00795E02">
                    <w:pPr>
                      <w:pStyle w:val="Heading4"/>
                    </w:pPr>
                  </w:p>
                  <w:p w14:paraId="5C8C5574" w14:textId="77777777" w:rsidR="00795E02" w:rsidRPr="004D7BA9" w:rsidRDefault="00795E02" w:rsidP="00795E02">
                    <w:pPr>
                      <w:pStyle w:val="Heading4"/>
                    </w:pPr>
                  </w:p>
                  <w:p w14:paraId="0EB72334" w14:textId="77777777" w:rsidR="00795E02" w:rsidRPr="004D7BA9" w:rsidRDefault="00795E02" w:rsidP="00795E02">
                    <w:pPr>
                      <w:pStyle w:val="Heading3"/>
                    </w:pPr>
                  </w:p>
                  <w:p w14:paraId="22CE3020" w14:textId="77777777" w:rsidR="00795E02" w:rsidRPr="004D7BA9" w:rsidRDefault="00795E02" w:rsidP="00795E0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4229B175" w14:textId="1E9651DE" w:rsidR="00795E02" w:rsidRPr="004D7BA9" w:rsidRDefault="008C1913" w:rsidP="00795E02">
    <w:pPr>
      <w:pStyle w:val="Heading4"/>
    </w:pPr>
    <w:r w:rsidRPr="004D7BA9">
      <w:t>ИНФОРМАЦИОННА БЕЛЕЖКА</w:t>
    </w:r>
  </w:p>
  <w:p w14:paraId="427D049B" w14:textId="3BA67E1E" w:rsidR="00246A65" w:rsidRPr="004D7BA9" w:rsidRDefault="004F29C5" w:rsidP="008C1913">
    <w:pPr>
      <w:pStyle w:val="Heading4"/>
    </w:pPr>
    <w:sdt>
      <w:sdtPr>
        <w:alias w:val="Заглавие"/>
        <w:tag w:val=""/>
        <w:id w:val="-117395429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C1913" w:rsidRPr="004D7BA9">
          <w:t>SAFE2EAT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43D99" w14:textId="77777777" w:rsidR="00EA7E45" w:rsidRPr="004D7BA9" w:rsidRDefault="000F09FC" w:rsidP="00EA7E45">
    <w:pPr>
      <w:pStyle w:val="Header"/>
    </w:pPr>
    <w:r w:rsidRPr="004D7BA9">
      <w:rPr>
        <w:noProof/>
        <w:lang w:eastAsia="bg-BG"/>
      </w:rPr>
      <w:drawing>
        <wp:anchor distT="0" distB="0" distL="114300" distR="114300" simplePos="0" relativeHeight="251658241" behindDoc="0" locked="0" layoutInCell="1" allowOverlap="1" wp14:anchorId="6ED68F8D" wp14:editId="384DFF72">
          <wp:simplePos x="0" y="0"/>
          <wp:positionH relativeFrom="column">
            <wp:posOffset>4954270</wp:posOffset>
          </wp:positionH>
          <wp:positionV relativeFrom="paragraph">
            <wp:posOffset>-152579</wp:posOffset>
          </wp:positionV>
          <wp:extent cx="945515" cy="1439545"/>
          <wp:effectExtent l="0" t="0" r="0" b="0"/>
          <wp:wrapNone/>
          <wp:docPr id="742621601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7BA9">
      <w:rPr>
        <w:noProof/>
        <w:lang w:eastAsia="bg-BG"/>
      </w:rPr>
      <w:drawing>
        <wp:anchor distT="0" distB="0" distL="114300" distR="114300" simplePos="0" relativeHeight="251658247" behindDoc="0" locked="0" layoutInCell="1" allowOverlap="1" wp14:anchorId="234D8F8F" wp14:editId="71891DF0">
          <wp:simplePos x="0" y="0"/>
          <wp:positionH relativeFrom="column">
            <wp:posOffset>-1080023</wp:posOffset>
          </wp:positionH>
          <wp:positionV relativeFrom="paragraph">
            <wp:posOffset>-226695</wp:posOffset>
          </wp:positionV>
          <wp:extent cx="773561" cy="1547122"/>
          <wp:effectExtent l="0" t="0" r="1270" b="2540"/>
          <wp:wrapNone/>
          <wp:docPr id="150111172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61" cy="1547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7BA9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44E7AD9" wp14:editId="41CB97A5">
              <wp:simplePos x="0" y="0"/>
              <wp:positionH relativeFrom="column">
                <wp:posOffset>-91294</wp:posOffset>
              </wp:positionH>
              <wp:positionV relativeFrom="paragraph">
                <wp:posOffset>-16510</wp:posOffset>
              </wp:positionV>
              <wp:extent cx="4528185" cy="1544320"/>
              <wp:effectExtent l="0" t="0" r="0" b="0"/>
              <wp:wrapNone/>
              <wp:docPr id="136" name="Zone de texte 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8185" cy="154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07A013" w14:textId="77777777" w:rsidR="00A9632A" w:rsidRPr="004D7BA9" w:rsidRDefault="00A9632A" w:rsidP="0059261D">
                          <w:pPr>
                            <w:pStyle w:val="Heading4"/>
                          </w:pPr>
                        </w:p>
                        <w:p w14:paraId="1B81C83F" w14:textId="458ED17E" w:rsidR="0059261D" w:rsidRPr="004D7BA9" w:rsidRDefault="0094370A" w:rsidP="0059261D">
                          <w:pPr>
                            <w:pStyle w:val="Heading4"/>
                          </w:pPr>
                          <w:r w:rsidRPr="004D7BA9">
                            <w:t xml:space="preserve">ИНФОРМАЦИОННА БЕЛЕЖКА </w:t>
                          </w:r>
                        </w:p>
                        <w:p w14:paraId="5CEBCE9C" w14:textId="77777777" w:rsidR="0059261D" w:rsidRPr="004D7BA9" w:rsidRDefault="0059261D" w:rsidP="0059261D">
                          <w:pPr>
                            <w:pStyle w:val="Heading4"/>
                          </w:pPr>
                        </w:p>
                        <w:p w14:paraId="5D621993" w14:textId="699DE643" w:rsidR="0059261D" w:rsidRPr="004D7BA9" w:rsidRDefault="0094370A" w:rsidP="0059261D">
                          <w:pPr>
                            <w:pStyle w:val="Heading3"/>
                          </w:pPr>
                          <w:r w:rsidRPr="004D7BA9">
                            <w:t>SAFE2EAT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E7AD9" id="_x0000_t202" coordsize="21600,21600" o:spt="202" path="m,l,21600r21600,l21600,xe">
              <v:stroke joinstyle="miter"/>
              <v:path gradientshapeok="t" o:connecttype="rect"/>
            </v:shapetype>
            <v:shape id="Zone de texte 136" o:spid="_x0000_s1028" type="#_x0000_t202" style="position:absolute;left:0;text-align:left;margin-left:-7.2pt;margin-top:-1.3pt;width:356.55pt;height:121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" filled="f" stroked="f" strokeweight=".5pt">
              <v:textbox>
                <w:txbxContent>
                  <w:p w14:paraId="1307A013" w14:textId="77777777" w:rsidR="00A9632A" w:rsidRPr="004D7BA9" w:rsidRDefault="00A9632A" w:rsidP="0059261D">
                    <w:pPr>
                      <w:pStyle w:val="Heading4"/>
                    </w:pPr>
                  </w:p>
                  <w:p w14:paraId="1B81C83F" w14:textId="458ED17E" w:rsidR="0059261D" w:rsidRPr="004D7BA9" w:rsidRDefault="0094370A" w:rsidP="0059261D">
                    <w:pPr>
                      <w:pStyle w:val="Heading4"/>
                    </w:pPr>
                    <w:r w:rsidRPr="004D7BA9">
                      <w:t xml:space="preserve">ИНФОРМАЦИОННА БЕЛЕЖКА </w:t>
                    </w:r>
                  </w:p>
                  <w:p w14:paraId="5CEBCE9C" w14:textId="77777777" w:rsidR="0059261D" w:rsidRPr="004D7BA9" w:rsidRDefault="0059261D" w:rsidP="0059261D">
                    <w:pPr>
                      <w:pStyle w:val="Heading4"/>
                    </w:pPr>
                  </w:p>
                  <w:p w14:paraId="5D621993" w14:textId="699DE643" w:rsidR="0059261D" w:rsidRPr="004D7BA9" w:rsidRDefault="0094370A" w:rsidP="0059261D">
                    <w:pPr>
                      <w:pStyle w:val="Heading3"/>
                    </w:pPr>
                    <w:r w:rsidRPr="004D7BA9">
                      <w:t>SAFE2EAT</w:t>
                    </w:r>
                  </w:p>
                </w:txbxContent>
              </v:textbox>
            </v:shape>
          </w:pict>
        </mc:Fallback>
      </mc:AlternateContent>
    </w:r>
    <w:r w:rsidRPr="004D7BA9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85735A" wp14:editId="5189CDB8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7558088" cy="1980000"/>
              <wp:effectExtent l="0" t="0" r="5080" b="127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088" cy="1980000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CEF8A68" w14:textId="77777777" w:rsidR="004D7BA9" w:rsidRPr="004D7BA9" w:rsidRDefault="004D7BA9" w:rsidP="004D7BA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85735A" id="Rectangle 11" o:spid="_x0000_s1029" style="position:absolute;left:0;text-align:left;margin-left:-85.05pt;margin-top:-35.45pt;width:595.15pt;height:1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" fillcolor="#787878" stroked="f" strokeweight="1pt">
              <v:textbox>
                <w:txbxContent>
                  <w:p w14:paraId="3CEF8A68" w14:textId="77777777" w:rsidR="004D7BA9" w:rsidRPr="004D7BA9" w:rsidRDefault="004D7BA9" w:rsidP="004D7BA9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3BABDAB1" w14:textId="77777777" w:rsidR="00EA7E45" w:rsidRPr="004D7BA9" w:rsidRDefault="00246A65">
    <w:pPr>
      <w:pStyle w:val="Header"/>
    </w:pPr>
    <w:r w:rsidRPr="004D7BA9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1616B3D" wp14:editId="012E3A94">
              <wp:simplePos x="0" y="0"/>
              <wp:positionH relativeFrom="column">
                <wp:posOffset>520</wp:posOffset>
              </wp:positionH>
              <wp:positionV relativeFrom="paragraph">
                <wp:posOffset>373669</wp:posOffset>
              </wp:positionV>
              <wp:extent cx="883227" cy="72000"/>
              <wp:effectExtent l="0" t="0" r="0" b="4445"/>
              <wp:wrapNone/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227" cy="7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310509" w14:textId="77777777" w:rsidR="004D7BA9" w:rsidRPr="004D7BA9" w:rsidRDefault="004D7BA9" w:rsidP="004D7BA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616B3D" id="Rectangle 36" o:spid="_x0000_s1030" style="position:absolute;left:0;text-align:left;margin-left:.05pt;margin-top:29.4pt;width:69.55pt;height:5.65pt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" fillcolor="white [3212]" stroked="f" strokeweight="1pt">
              <v:textbox>
                <w:txbxContent>
                  <w:p w14:paraId="1A310509" w14:textId="77777777" w:rsidR="004D7BA9" w:rsidRPr="004D7BA9" w:rsidRDefault="004D7BA9" w:rsidP="004D7BA9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6861"/>
    <w:multiLevelType w:val="hybridMultilevel"/>
    <w:tmpl w:val="38D0E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143A5"/>
    <w:multiLevelType w:val="hybridMultilevel"/>
    <w:tmpl w:val="13783F9E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4472C4" w:themeColor="accent1"/>
        <w:sz w:val="18"/>
      </w:rPr>
    </w:lvl>
    <w:lvl w:ilvl="1" w:tplc="46708B84">
      <w:start w:val="1"/>
      <w:numFmt w:val="bullet"/>
      <w:pStyle w:val="Listparalevel2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F2E00E26">
      <w:start w:val="1"/>
      <w:numFmt w:val="bullet"/>
      <w:pStyle w:val="Listparalevel3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" w15:restartNumberingAfterBreak="0">
    <w:nsid w:val="30E62BA6"/>
    <w:multiLevelType w:val="hybridMultilevel"/>
    <w:tmpl w:val="96941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86900"/>
    <w:multiLevelType w:val="multilevel"/>
    <w:tmpl w:val="C838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AF13C2"/>
    <w:multiLevelType w:val="hybridMultilevel"/>
    <w:tmpl w:val="38B28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87BA3"/>
    <w:multiLevelType w:val="multilevel"/>
    <w:tmpl w:val="BA04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F94F26"/>
    <w:multiLevelType w:val="multilevel"/>
    <w:tmpl w:val="6544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376314"/>
    <w:multiLevelType w:val="multilevel"/>
    <w:tmpl w:val="8F54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4B5DEA"/>
    <w:multiLevelType w:val="hybridMultilevel"/>
    <w:tmpl w:val="2CA88D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A54A87"/>
    <w:multiLevelType w:val="hybridMultilevel"/>
    <w:tmpl w:val="55CAB824"/>
    <w:lvl w:ilvl="0" w:tplc="D31EA514">
      <w:start w:val="1"/>
      <w:numFmt w:val="decimal"/>
      <w:pStyle w:val="listnumgreen"/>
      <w:lvlText w:val="%1."/>
      <w:lvlJc w:val="left"/>
      <w:pPr>
        <w:ind w:left="360" w:hanging="360"/>
      </w:pPr>
      <w:rPr>
        <w:rFonts w:hint="default"/>
        <w:color w:val="22294D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007D0"/>
    <w:multiLevelType w:val="multilevel"/>
    <w:tmpl w:val="AD36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F82377"/>
    <w:multiLevelType w:val="multilevel"/>
    <w:tmpl w:val="8A54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4E7B6D"/>
    <w:multiLevelType w:val="multilevel"/>
    <w:tmpl w:val="D040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6B05A8"/>
    <w:multiLevelType w:val="multilevel"/>
    <w:tmpl w:val="367C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"/>
  </w:num>
  <w:num w:numId="3">
    <w:abstractNumId w:val="9"/>
  </w:num>
  <w:num w:numId="4">
    <w:abstractNumId w:val="1"/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13"/>
  </w:num>
  <w:num w:numId="10">
    <w:abstractNumId w:val="10"/>
  </w:num>
  <w:num w:numId="11">
    <w:abstractNumId w:val="4"/>
  </w:num>
  <w:num w:numId="12">
    <w:abstractNumId w:val="0"/>
  </w:num>
  <w:num w:numId="13">
    <w:abstractNumId w:val="8"/>
  </w:num>
  <w:num w:numId="14">
    <w:abstractNumId w:val="12"/>
  </w:num>
  <w:num w:numId="15">
    <w:abstractNumId w:val="11"/>
  </w:num>
  <w:num w:numId="16">
    <w:abstractNumId w:val="2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70"/>
    <w:rsid w:val="0001475A"/>
    <w:rsid w:val="0002558E"/>
    <w:rsid w:val="00044B2A"/>
    <w:rsid w:val="000467A2"/>
    <w:rsid w:val="00056D3B"/>
    <w:rsid w:val="00077257"/>
    <w:rsid w:val="000B035F"/>
    <w:rsid w:val="000D09ED"/>
    <w:rsid w:val="000E674D"/>
    <w:rsid w:val="000F09FC"/>
    <w:rsid w:val="000F631F"/>
    <w:rsid w:val="00120CDF"/>
    <w:rsid w:val="0013355C"/>
    <w:rsid w:val="00141C72"/>
    <w:rsid w:val="00142B01"/>
    <w:rsid w:val="001A0E65"/>
    <w:rsid w:val="001C5795"/>
    <w:rsid w:val="001D2A4E"/>
    <w:rsid w:val="001E3464"/>
    <w:rsid w:val="001E4906"/>
    <w:rsid w:val="002172FA"/>
    <w:rsid w:val="00246A65"/>
    <w:rsid w:val="002644FE"/>
    <w:rsid w:val="002705F2"/>
    <w:rsid w:val="002725BE"/>
    <w:rsid w:val="0029179E"/>
    <w:rsid w:val="002A40AD"/>
    <w:rsid w:val="002A4DB9"/>
    <w:rsid w:val="002B0C5B"/>
    <w:rsid w:val="00306FA4"/>
    <w:rsid w:val="00317C57"/>
    <w:rsid w:val="00323A85"/>
    <w:rsid w:val="003448B9"/>
    <w:rsid w:val="00364537"/>
    <w:rsid w:val="00373109"/>
    <w:rsid w:val="003A7297"/>
    <w:rsid w:val="003B46F5"/>
    <w:rsid w:val="004A49F7"/>
    <w:rsid w:val="004A79D0"/>
    <w:rsid w:val="004D7BA9"/>
    <w:rsid w:val="004E0CE7"/>
    <w:rsid w:val="004F29C5"/>
    <w:rsid w:val="005026F6"/>
    <w:rsid w:val="00507A72"/>
    <w:rsid w:val="00532A57"/>
    <w:rsid w:val="00550B9A"/>
    <w:rsid w:val="00576B87"/>
    <w:rsid w:val="0059261D"/>
    <w:rsid w:val="00596DC9"/>
    <w:rsid w:val="005B3B3E"/>
    <w:rsid w:val="0060496F"/>
    <w:rsid w:val="006540B5"/>
    <w:rsid w:val="00686402"/>
    <w:rsid w:val="006901AD"/>
    <w:rsid w:val="006A5074"/>
    <w:rsid w:val="006E4886"/>
    <w:rsid w:val="006F3346"/>
    <w:rsid w:val="00702615"/>
    <w:rsid w:val="00702B23"/>
    <w:rsid w:val="00731E4D"/>
    <w:rsid w:val="0075657E"/>
    <w:rsid w:val="00795E02"/>
    <w:rsid w:val="007A6E6E"/>
    <w:rsid w:val="007B0D05"/>
    <w:rsid w:val="007C47FC"/>
    <w:rsid w:val="007D5D77"/>
    <w:rsid w:val="007F2113"/>
    <w:rsid w:val="00825187"/>
    <w:rsid w:val="0084348D"/>
    <w:rsid w:val="00856470"/>
    <w:rsid w:val="0086132F"/>
    <w:rsid w:val="00881A01"/>
    <w:rsid w:val="008912EE"/>
    <w:rsid w:val="008A0479"/>
    <w:rsid w:val="008A4870"/>
    <w:rsid w:val="008C1913"/>
    <w:rsid w:val="008D2599"/>
    <w:rsid w:val="008D38DC"/>
    <w:rsid w:val="00906C2C"/>
    <w:rsid w:val="009255FA"/>
    <w:rsid w:val="0094370A"/>
    <w:rsid w:val="009463E2"/>
    <w:rsid w:val="00950115"/>
    <w:rsid w:val="00956292"/>
    <w:rsid w:val="00970608"/>
    <w:rsid w:val="009A5CDA"/>
    <w:rsid w:val="009A6558"/>
    <w:rsid w:val="009B7DC9"/>
    <w:rsid w:val="009C3A77"/>
    <w:rsid w:val="009E17BD"/>
    <w:rsid w:val="00A11232"/>
    <w:rsid w:val="00A1131A"/>
    <w:rsid w:val="00A400C7"/>
    <w:rsid w:val="00A4388E"/>
    <w:rsid w:val="00A9632A"/>
    <w:rsid w:val="00AC7A94"/>
    <w:rsid w:val="00AD4A15"/>
    <w:rsid w:val="00AF406B"/>
    <w:rsid w:val="00B263E7"/>
    <w:rsid w:val="00B301A0"/>
    <w:rsid w:val="00B632A7"/>
    <w:rsid w:val="00B63DB9"/>
    <w:rsid w:val="00B857C9"/>
    <w:rsid w:val="00BE13CD"/>
    <w:rsid w:val="00BF135A"/>
    <w:rsid w:val="00BF550C"/>
    <w:rsid w:val="00C56954"/>
    <w:rsid w:val="00C76C81"/>
    <w:rsid w:val="00C9510C"/>
    <w:rsid w:val="00CC0AED"/>
    <w:rsid w:val="00CF228E"/>
    <w:rsid w:val="00D22C4A"/>
    <w:rsid w:val="00D375B0"/>
    <w:rsid w:val="00D47663"/>
    <w:rsid w:val="00D554B1"/>
    <w:rsid w:val="00D75613"/>
    <w:rsid w:val="00D84CE5"/>
    <w:rsid w:val="00D8715C"/>
    <w:rsid w:val="00DD5E27"/>
    <w:rsid w:val="00DE223E"/>
    <w:rsid w:val="00E3391A"/>
    <w:rsid w:val="00E835D1"/>
    <w:rsid w:val="00EA7E45"/>
    <w:rsid w:val="00F02118"/>
    <w:rsid w:val="00F0253E"/>
    <w:rsid w:val="00F30E9C"/>
    <w:rsid w:val="00F63A98"/>
    <w:rsid w:val="00F64516"/>
    <w:rsid w:val="00FB1265"/>
    <w:rsid w:val="00FB1EB5"/>
    <w:rsid w:val="00FE318B"/>
    <w:rsid w:val="028046E9"/>
    <w:rsid w:val="0338DF28"/>
    <w:rsid w:val="04192A17"/>
    <w:rsid w:val="04803856"/>
    <w:rsid w:val="04B650D8"/>
    <w:rsid w:val="0681D3A0"/>
    <w:rsid w:val="0DA026D8"/>
    <w:rsid w:val="0EF03383"/>
    <w:rsid w:val="0F8CCFB5"/>
    <w:rsid w:val="10D564D8"/>
    <w:rsid w:val="1110472C"/>
    <w:rsid w:val="122ADDAA"/>
    <w:rsid w:val="1498FEEB"/>
    <w:rsid w:val="1677A05A"/>
    <w:rsid w:val="1897F223"/>
    <w:rsid w:val="1A89954F"/>
    <w:rsid w:val="1AB5983F"/>
    <w:rsid w:val="1AD0B601"/>
    <w:rsid w:val="1BCF2678"/>
    <w:rsid w:val="20D4DDDA"/>
    <w:rsid w:val="21B0C199"/>
    <w:rsid w:val="233A23EE"/>
    <w:rsid w:val="23A3287E"/>
    <w:rsid w:val="28176B6D"/>
    <w:rsid w:val="28E5341A"/>
    <w:rsid w:val="2BCA1A65"/>
    <w:rsid w:val="306495D7"/>
    <w:rsid w:val="31E50F03"/>
    <w:rsid w:val="35DC9145"/>
    <w:rsid w:val="36AD645D"/>
    <w:rsid w:val="3798FE79"/>
    <w:rsid w:val="37CFB536"/>
    <w:rsid w:val="38A5B932"/>
    <w:rsid w:val="396F7B2C"/>
    <w:rsid w:val="3EA4CECA"/>
    <w:rsid w:val="44FBB1FC"/>
    <w:rsid w:val="4623F8F9"/>
    <w:rsid w:val="47A7EDB9"/>
    <w:rsid w:val="4927E8C8"/>
    <w:rsid w:val="49A798D0"/>
    <w:rsid w:val="4A48AB81"/>
    <w:rsid w:val="4AA4E88E"/>
    <w:rsid w:val="5179270F"/>
    <w:rsid w:val="554248CB"/>
    <w:rsid w:val="578F052F"/>
    <w:rsid w:val="5D2CD1C4"/>
    <w:rsid w:val="5D4DDED0"/>
    <w:rsid w:val="5E824CAF"/>
    <w:rsid w:val="62167463"/>
    <w:rsid w:val="63C0BA10"/>
    <w:rsid w:val="644BBCF3"/>
    <w:rsid w:val="65A1EB32"/>
    <w:rsid w:val="6E601AEE"/>
    <w:rsid w:val="6F541276"/>
    <w:rsid w:val="6FCA0019"/>
    <w:rsid w:val="705BFBA5"/>
    <w:rsid w:val="72E75FE9"/>
    <w:rsid w:val="7359795B"/>
    <w:rsid w:val="76CA9DB8"/>
    <w:rsid w:val="773BEEB8"/>
    <w:rsid w:val="7A193C6E"/>
    <w:rsid w:val="7B5163E7"/>
    <w:rsid w:val="7B642C4F"/>
    <w:rsid w:val="7CBA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E4A4D"/>
  <w15:chartTrackingRefBased/>
  <w15:docId w15:val="{9D22BB7D-AF47-4E9B-9CFC-BB7CE3A8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B3E"/>
    <w:pPr>
      <w:spacing w:after="120" w:line="240" w:lineRule="auto"/>
      <w:ind w:right="-1"/>
      <w:jc w:val="both"/>
    </w:pPr>
    <w:rPr>
      <w:color w:val="22294D"/>
      <w:sz w:val="19"/>
    </w:rPr>
  </w:style>
  <w:style w:type="paragraph" w:styleId="Heading1">
    <w:name w:val="heading 1"/>
    <w:aliases w:val="3 - Contact"/>
    <w:basedOn w:val="Normal"/>
    <w:next w:val="Normal"/>
    <w:link w:val="Heading1Char"/>
    <w:uiPriority w:val="9"/>
    <w:qFormat/>
    <w:rsid w:val="00120CDF"/>
    <w:pPr>
      <w:spacing w:after="0"/>
      <w:ind w:right="0"/>
      <w:outlineLvl w:val="0"/>
    </w:pPr>
  </w:style>
  <w:style w:type="paragraph" w:styleId="Heading2">
    <w:name w:val="heading 2"/>
    <w:aliases w:val="5 - Optional subheadline"/>
    <w:basedOn w:val="Normal"/>
    <w:next w:val="Normal"/>
    <w:link w:val="Heading2Char"/>
    <w:uiPriority w:val="9"/>
    <w:unhideWhenUsed/>
    <w:qFormat/>
    <w:rsid w:val="00120CDF"/>
    <w:pPr>
      <w:spacing w:after="360"/>
      <w:ind w:right="0"/>
      <w:jc w:val="right"/>
      <w:outlineLvl w:val="1"/>
    </w:pPr>
    <w:rPr>
      <w:b/>
      <w:bCs/>
      <w:sz w:val="36"/>
      <w:szCs w:val="36"/>
    </w:rPr>
  </w:style>
  <w:style w:type="paragraph" w:styleId="Heading3">
    <w:name w:val="heading 3"/>
    <w:aliases w:val="2 - Headline header"/>
    <w:basedOn w:val="Normal"/>
    <w:next w:val="Normal"/>
    <w:link w:val="Heading3Char"/>
    <w:uiPriority w:val="9"/>
    <w:unhideWhenUsed/>
    <w:qFormat/>
    <w:rsid w:val="0059261D"/>
    <w:pPr>
      <w:spacing w:before="240" w:after="0"/>
      <w:ind w:right="0"/>
      <w:outlineLvl w:val="2"/>
    </w:pPr>
    <w:rPr>
      <w:color w:val="FFFFFF" w:themeColor="background1"/>
      <w:sz w:val="32"/>
      <w:szCs w:val="32"/>
    </w:rPr>
  </w:style>
  <w:style w:type="paragraph" w:styleId="Heading4">
    <w:name w:val="heading 4"/>
    <w:aliases w:val="1 - Date &amp; Press release"/>
    <w:basedOn w:val="Normal"/>
    <w:next w:val="Normal"/>
    <w:link w:val="Heading4Char"/>
    <w:uiPriority w:val="9"/>
    <w:unhideWhenUsed/>
    <w:qFormat/>
    <w:rsid w:val="0059261D"/>
    <w:pPr>
      <w:spacing w:after="40"/>
      <w:outlineLvl w:val="3"/>
    </w:pPr>
    <w:rPr>
      <w:color w:val="FFFFFF" w:themeColor="background1"/>
      <w:sz w:val="24"/>
      <w:szCs w:val="36"/>
    </w:rPr>
  </w:style>
  <w:style w:type="paragraph" w:styleId="Heading5">
    <w:name w:val="heading 5"/>
    <w:aliases w:val="4 - Headline body"/>
    <w:basedOn w:val="Heading1"/>
    <w:next w:val="Normal"/>
    <w:link w:val="Heading5Char"/>
    <w:uiPriority w:val="9"/>
    <w:unhideWhenUsed/>
    <w:qFormat/>
    <w:rsid w:val="00120CDF"/>
    <w:pPr>
      <w:spacing w:after="120"/>
      <w:jc w:val="right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level2">
    <w:name w:val="List para level 2"/>
    <w:basedOn w:val="ListParagraph"/>
    <w:link w:val="Listparalevel2Char"/>
    <w:rsid w:val="00A11232"/>
    <w:pPr>
      <w:numPr>
        <w:ilvl w:val="1"/>
        <w:numId w:val="5"/>
      </w:numPr>
    </w:pPr>
  </w:style>
  <w:style w:type="character" w:customStyle="1" w:styleId="Listparalevel2Char">
    <w:name w:val="List para level 2 Char"/>
    <w:basedOn w:val="ListParagraphChar"/>
    <w:link w:val="Listparalevel2"/>
    <w:rsid w:val="00A11232"/>
    <w:rPr>
      <w:noProof/>
      <w:color w:val="787878"/>
      <w:sz w:val="19"/>
      <w:lang w:val="bg-BG"/>
    </w:rPr>
  </w:style>
  <w:style w:type="paragraph" w:styleId="ListParagraph">
    <w:name w:val="List Paragraph"/>
    <w:basedOn w:val="Normal"/>
    <w:link w:val="ListParagraphChar"/>
    <w:uiPriority w:val="34"/>
    <w:rsid w:val="00A11232"/>
    <w:pPr>
      <w:spacing w:after="0"/>
      <w:contextualSpacing/>
    </w:pPr>
    <w:rPr>
      <w:noProof/>
    </w:rPr>
  </w:style>
  <w:style w:type="paragraph" w:customStyle="1" w:styleId="Listparalevel3">
    <w:name w:val="List para level 3"/>
    <w:basedOn w:val="Listparalevel2"/>
    <w:link w:val="Listparalevel3Char"/>
    <w:rsid w:val="00A11232"/>
    <w:pPr>
      <w:numPr>
        <w:ilvl w:val="2"/>
      </w:numPr>
    </w:pPr>
  </w:style>
  <w:style w:type="character" w:customStyle="1" w:styleId="Listparalevel3Char">
    <w:name w:val="List para level 3 Char"/>
    <w:basedOn w:val="Listparalevel2Char"/>
    <w:link w:val="Listparalevel3"/>
    <w:rsid w:val="00A11232"/>
    <w:rPr>
      <w:noProof/>
      <w:color w:val="787878"/>
      <w:sz w:val="19"/>
      <w:lang w:val="bg-BG"/>
    </w:rPr>
  </w:style>
  <w:style w:type="paragraph" w:customStyle="1" w:styleId="listnumgreen">
    <w:name w:val="list num green"/>
    <w:basedOn w:val="ListParagraph"/>
    <w:rsid w:val="00A11232"/>
    <w:pPr>
      <w:numPr>
        <w:numId w:val="6"/>
      </w:numPr>
    </w:pPr>
  </w:style>
  <w:style w:type="paragraph" w:customStyle="1" w:styleId="Contact">
    <w:name w:val="Contact"/>
    <w:basedOn w:val="Normal"/>
    <w:qFormat/>
    <w:rsid w:val="00A11232"/>
    <w:pPr>
      <w:spacing w:after="0"/>
      <w:ind w:right="-425"/>
    </w:pPr>
  </w:style>
  <w:style w:type="character" w:customStyle="1" w:styleId="Heading1Char">
    <w:name w:val="Heading 1 Char"/>
    <w:aliases w:val="3 - Contact Char"/>
    <w:basedOn w:val="DefaultParagraphFont"/>
    <w:link w:val="Heading1"/>
    <w:uiPriority w:val="9"/>
    <w:rsid w:val="00120CDF"/>
    <w:rPr>
      <w:color w:val="22294D"/>
      <w:sz w:val="19"/>
      <w:lang w:val="bg-BG"/>
    </w:rPr>
  </w:style>
  <w:style w:type="character" w:customStyle="1" w:styleId="Heading2Char">
    <w:name w:val="Heading 2 Char"/>
    <w:aliases w:val="5 - Optional subheadline Char"/>
    <w:basedOn w:val="DefaultParagraphFont"/>
    <w:link w:val="Heading2"/>
    <w:uiPriority w:val="9"/>
    <w:rsid w:val="00120CDF"/>
    <w:rPr>
      <w:b/>
      <w:bCs/>
      <w:color w:val="22294D"/>
      <w:sz w:val="36"/>
      <w:szCs w:val="36"/>
      <w:lang w:val="bg-BG"/>
    </w:rPr>
  </w:style>
  <w:style w:type="character" w:customStyle="1" w:styleId="Heading3Char">
    <w:name w:val="Heading 3 Char"/>
    <w:aliases w:val="2 - Headline header Char"/>
    <w:basedOn w:val="DefaultParagraphFont"/>
    <w:link w:val="Heading3"/>
    <w:uiPriority w:val="9"/>
    <w:rsid w:val="0059261D"/>
    <w:rPr>
      <w:color w:val="FFFFFF" w:themeColor="background1"/>
      <w:sz w:val="32"/>
      <w:szCs w:val="32"/>
      <w:lang w:val="bg-BG"/>
    </w:rPr>
  </w:style>
  <w:style w:type="character" w:customStyle="1" w:styleId="Heading4Char">
    <w:name w:val="Heading 4 Char"/>
    <w:aliases w:val="1 - Date &amp; Press release Char"/>
    <w:basedOn w:val="DefaultParagraphFont"/>
    <w:link w:val="Heading4"/>
    <w:uiPriority w:val="9"/>
    <w:rsid w:val="0059261D"/>
    <w:rPr>
      <w:color w:val="FFFFFF" w:themeColor="background1"/>
      <w:sz w:val="24"/>
      <w:szCs w:val="36"/>
      <w:lang w:val="bg-BG"/>
    </w:rPr>
  </w:style>
  <w:style w:type="character" w:customStyle="1" w:styleId="Heading5Char">
    <w:name w:val="Heading 5 Char"/>
    <w:aliases w:val="4 - Headline body Char"/>
    <w:basedOn w:val="DefaultParagraphFont"/>
    <w:link w:val="Heading5"/>
    <w:uiPriority w:val="9"/>
    <w:rsid w:val="00120CDF"/>
    <w:rPr>
      <w:color w:val="22294D"/>
      <w:sz w:val="28"/>
      <w:szCs w:val="28"/>
      <w:lang w:val="bg-BG"/>
    </w:rPr>
  </w:style>
  <w:style w:type="paragraph" w:styleId="Title">
    <w:name w:val="Title"/>
    <w:aliases w:val="6 - Position"/>
    <w:basedOn w:val="Heading2"/>
    <w:next w:val="Normal"/>
    <w:link w:val="TitleChar"/>
    <w:uiPriority w:val="10"/>
    <w:qFormat/>
    <w:rsid w:val="00EA7E45"/>
    <w:rPr>
      <w:b w:val="0"/>
      <w:bCs w:val="0"/>
      <w:i/>
    </w:rPr>
  </w:style>
  <w:style w:type="character" w:customStyle="1" w:styleId="TitleChar">
    <w:name w:val="Title Char"/>
    <w:aliases w:val="6 - Position Char"/>
    <w:basedOn w:val="DefaultParagraphFont"/>
    <w:link w:val="Title"/>
    <w:uiPriority w:val="10"/>
    <w:rsid w:val="00EA7E45"/>
    <w:rPr>
      <w:i/>
      <w:color w:val="22294D"/>
      <w:sz w:val="19"/>
      <w:lang w:val="bg-BG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11232"/>
    <w:rPr>
      <w:noProof/>
      <w:color w:val="787878"/>
      <w:sz w:val="19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3B3E"/>
    <w:rPr>
      <w:color w:val="787878"/>
      <w:sz w:val="19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3B3E"/>
    <w:rPr>
      <w:color w:val="787878"/>
      <w:sz w:val="19"/>
      <w:lang w:val="bg-BG"/>
    </w:rPr>
  </w:style>
  <w:style w:type="character" w:styleId="PlaceholderText">
    <w:name w:val="Placeholder Text"/>
    <w:basedOn w:val="DefaultParagraphFont"/>
    <w:uiPriority w:val="99"/>
    <w:semiHidden/>
    <w:rsid w:val="0059261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926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4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C1913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C1913"/>
  </w:style>
  <w:style w:type="character" w:customStyle="1" w:styleId="eop">
    <w:name w:val="eop"/>
    <w:basedOn w:val="DefaultParagraphFont"/>
    <w:rsid w:val="008C1913"/>
  </w:style>
  <w:style w:type="character" w:customStyle="1" w:styleId="scxw95617525">
    <w:name w:val="scxw95617525"/>
    <w:basedOn w:val="DefaultParagraphFont"/>
    <w:rsid w:val="008C1913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color w:val="22294D"/>
      <w:sz w:val="20"/>
      <w:szCs w:val="20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448B9"/>
    <w:pPr>
      <w:spacing w:after="0" w:line="240" w:lineRule="auto"/>
    </w:pPr>
    <w:rPr>
      <w:color w:val="22294D"/>
      <w:sz w:val="1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8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8B9"/>
    <w:rPr>
      <w:b/>
      <w:bCs/>
      <w:color w:val="22294D"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unhideWhenUsed/>
    <w:rsid w:val="00881A0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6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615"/>
    <w:rPr>
      <w:rFonts w:ascii="Segoe UI" w:hAnsi="Segoe UI" w:cs="Segoe UI"/>
      <w:color w:val="22294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1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ess@efsa.europa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fsa.europa.eu/news/presscontac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fsa.europa.eu/en/corporate/pub/eurobarometer2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158B88FB57B44978AA7599716E84E" ma:contentTypeVersion="11" ma:contentTypeDescription="Create a new document." ma:contentTypeScope="" ma:versionID="366c09651c903789a84eb91aacd47746">
  <xsd:schema xmlns:xsd="http://www.w3.org/2001/XMLSchema" xmlns:xs="http://www.w3.org/2001/XMLSchema" xmlns:p="http://schemas.microsoft.com/office/2006/metadata/properties" xmlns:ns2="34b48345-9ac7-4050-93a6-4b531ea34ae8" xmlns:ns3="0528b274-48f2-4258-ae4e-d4f6dfd934b7" targetNamespace="http://schemas.microsoft.com/office/2006/metadata/properties" ma:root="true" ma:fieldsID="42263a51ffe1c1ebdd94a599abcf532d" ns2:_="" ns3:_="">
    <xsd:import namespace="34b48345-9ac7-4050-93a6-4b531ea34ae8"/>
    <xsd:import namespace="0528b274-48f2-4258-ae4e-d4f6dfd93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48345-9ac7-4050-93a6-4b531ea34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8b274-48f2-4258-ae4e-d4f6dfd934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659b28f-43a5-4999-a84c-74cb0dd55048}" ma:internalName="TaxCatchAll" ma:showField="CatchAllData" ma:web="0528b274-48f2-4258-ae4e-d4f6dfd93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48345-9ac7-4050-93a6-4b531ea34ae8">
      <Terms xmlns="http://schemas.microsoft.com/office/infopath/2007/PartnerControls"/>
    </lcf76f155ced4ddcb4097134ff3c332f>
    <TaxCatchAll xmlns="0528b274-48f2-4258-ae4e-d4f6dfd934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49A248-59CB-4921-B34B-DAB9F8AC5F88}"/>
</file>

<file path=customXml/itemProps2.xml><?xml version="1.0" encoding="utf-8"?>
<ds:datastoreItem xmlns:ds="http://schemas.openxmlformats.org/officeDocument/2006/customXml" ds:itemID="{6809F6E7-B668-48BC-96E3-98A6B5185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0415B-EFDC-4F3D-9A18-0D25E396FF0B}">
  <ds:schemaRefs>
    <ds:schemaRef ds:uri="http://schemas.microsoft.com/office/2006/metadata/properties"/>
    <ds:schemaRef ds:uri="http://schemas.microsoft.com/office/infopath/2007/PartnerControls"/>
    <ds:schemaRef ds:uri="8f6b77d0-fce4-4a0a-aeeb-e5d10f0910fb"/>
    <ds:schemaRef ds:uri="101da1ee-2ae8-47b4-84cf-f4457d329b55"/>
  </ds:schemaRefs>
</ds:datastoreItem>
</file>

<file path=customXml/itemProps4.xml><?xml version="1.0" encoding="utf-8"?>
<ds:datastoreItem xmlns:ds="http://schemas.openxmlformats.org/officeDocument/2006/customXml" ds:itemID="{F1F00F36-E8B6-418C-B8FE-850BA6D905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6a174b-e315-48bd-aa0a-cdaddc44250b}" enabled="0" method="" siteId="{406a174b-e315-48bd-aa0a-cdaddc4425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SAFE2EAT</vt:lpstr>
    </vt:vector>
  </TitlesOfParts>
  <Manager>GARCIA GOMEZ Matilde</Manager>
  <Company>CDT</Company>
  <LinksUpToDate>false</LinksUpToDate>
  <CharactersWithSpaces>7150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SAFE2EAT</dc:title>
  <dc:subject/>
  <dc:creator>CDT</dc:creator>
  <cp:keywords/>
  <dc:description/>
  <cp:lastModifiedBy>User</cp:lastModifiedBy>
  <cp:revision>14</cp:revision>
  <dcterms:created xsi:type="dcterms:W3CDTF">2026-03-12T09:19:00Z</dcterms:created>
  <dcterms:modified xsi:type="dcterms:W3CDTF">2026-04-15T09:30:00Z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0x010100C31158B88FB57B44978AA7599716E84E</vt:lpwstr>
  </property>
  <property fmtid="{D5CDD505-2E9C-101B-9397-08002B2CF9AE}" pid="3" name="Order">
    <vt:r8>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docLang">
    <vt:lpwstr>bg</vt:lpwstr>
  </property>
  <property fmtid="{D5CDD505-2E9C-101B-9397-08002B2CF9AE}" pid="12" name="GCG_PML_LeadUnit">
    <vt:lpwstr>1;#Com|91be7a05-0945-a784-da6c-191e4d516dea</vt:lpwstr>
  </property>
  <property fmtid="{D5CDD505-2E9C-101B-9397-08002B2CF9AE}" pid="13" name="GCG_PML_Sector">
    <vt:lpwstr>9;#COMMUNICATION|ebc27f1f-b863-4d4d-abe6-ca23350f1598</vt:lpwstr>
  </property>
  <property fmtid="{D5CDD505-2E9C-101B-9397-08002B2CF9AE}" pid="14" name="GCG_PDoc_Hierarchy">
    <vt:lpwstr>12;#02-Implementation|8c557e85-3b5a-4fad-9e4e-5dbb79834368</vt:lpwstr>
  </property>
  <property fmtid="{D5CDD505-2E9C-101B-9397-08002B2CF9AE}" pid="15" name="GCG_PML_NatureOfContract">
    <vt:lpwstr>2;#Time ＆ Material|c684b1da-f893-427f-aa54-5af376496c76</vt:lpwstr>
  </property>
  <property fmtid="{D5CDD505-2E9C-101B-9397-08002B2CF9AE}" pid="16" name="GCG_PML_Country">
    <vt:lpwstr>7;#Belgium|215c9f7d-a693-454f-9b23-42466d4f9576</vt:lpwstr>
  </property>
  <property fmtid="{D5CDD505-2E9C-101B-9397-08002B2CF9AE}" pid="17" name="GCG_PML_Unit">
    <vt:lpwstr>1;#Com|91be7a05-0945-a784-da6c-191e4d516dea</vt:lpwstr>
  </property>
  <property fmtid="{D5CDD505-2E9C-101B-9397-08002B2CF9AE}" pid="18" name="GCG_PML_SDG">
    <vt:lpwstr/>
  </property>
  <property fmtid="{D5CDD505-2E9C-101B-9397-08002B2CF9AE}" pid="19" name="GCG_PML_Beneficiary">
    <vt:lpwstr>11;#EFSA - European Food Safety Authority|65dce739-9741-494e-ad69-b6bf05113814</vt:lpwstr>
  </property>
  <property fmtid="{D5CDD505-2E9C-101B-9397-08002B2CF9AE}" pid="20" name="GCG_PML_TechnicalFields">
    <vt:lpwstr>10;#Communication|e78e3ec7-70bd-4cc0-abad-24308b3e17a7</vt:lpwstr>
  </property>
  <property fmtid="{D5CDD505-2E9C-101B-9397-08002B2CF9AE}" pid="21" name="GCG_PML_ServiceLine">
    <vt:lpwstr/>
  </property>
  <property fmtid="{D5CDD505-2E9C-101B-9397-08002B2CF9AE}" pid="22" name="GCG_PML_Region">
    <vt:lpwstr>3;#Western Europe|8871c1ee-64d1-46cb-811b-140ad92c009f;#4;#Europe ＆ Central Asia|fb72a473-b246-49e0-bcf4-5be0d2c6efcc;#5;#EU Member States|38612e80-6003-4ce7-af68-85c04bce5180;#6;#European Economic Area|943a8c03-5a98-407c-b0cf-a70481c69969</vt:lpwstr>
  </property>
  <property fmtid="{D5CDD505-2E9C-101B-9397-08002B2CF9AE}" pid="23" name="GCG_PML_Financier">
    <vt:lpwstr>8;#EU - European Union|b05e4926-cd10-4aa1-a755-88a1fa9d24c8</vt:lpwstr>
  </property>
</Properties>
</file>