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31A" w14:textId="77777777" w:rsidR="008C1913" w:rsidRPr="0020128B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2A4CA013" w14:textId="77777777" w:rsidR="008C1913" w:rsidRPr="0020128B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58A5B225" w14:textId="77777777" w:rsidR="000D09ED" w:rsidRPr="0020128B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09C09692" w14:textId="77777777" w:rsidR="0020128B" w:rsidRPr="0020128B" w:rsidRDefault="0020128B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67B02CF3" w14:textId="77777777" w:rsidR="008C1913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  <w:t>Pouzdana znanost za sigurnu hranu u Europi </w:t>
      </w:r>
      <w:r w:rsidRPr="0020128B">
        <w:rPr>
          <w:rStyle w:val="eop"/>
          <w:rFonts w:ascii="Calibri" w:hAnsi="Calibri" w:cs="Calibri"/>
          <w:color w:val="1A4489"/>
          <w:sz w:val="36"/>
          <w:szCs w:val="36"/>
          <w:lang w:val="hr-HR"/>
        </w:rPr>
        <w:t> </w:t>
      </w:r>
    </w:p>
    <w:p w14:paraId="6CB95B9D" w14:textId="4FF6F703" w:rsidR="00351ECF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-HR"/>
        </w:rPr>
      </w:pP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EU se ponosi jednim od najstrožih sustava sigurnosti hrane na svijetu. Utemeljen na najnovijim znanstvenim dostignućima, taj sustav uključuje blisku suradnju Europske agencije za sigurnost hrane (EFSA) i nacionalnih tijela za sigurnost hrane diljem Europe, pri čemu svi imaju ključnu ulogu.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 </w:t>
      </w:r>
    </w:p>
    <w:p w14:paraId="5B5F8ED3" w14:textId="4A5104E3" w:rsidR="007D23BE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color w:val="000000" w:themeColor="text1"/>
          <w:lang w:val="hr-HR"/>
        </w:rPr>
      </w:pP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Vrhunski znanstvenici iz cijelog EU-a procjenjuju 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 </w:t>
      </w:r>
      <w:r w:rsidR="00434D6A" w:rsidRPr="0020128B">
        <w:rPr>
          <w:rStyle w:val="normaltextrun"/>
          <w:rFonts w:ascii="Calibri" w:hAnsi="Calibri" w:cs="Calibri"/>
          <w:color w:val="000000" w:themeColor="text1"/>
          <w:lang w:val="hr-HR"/>
        </w:rPr>
        <w:t>pružaju stručne savjete o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sigurnost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i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hrane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,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blisko surađuju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ći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s nacionalnim i međunarodnim partnerima, proizvođačima, organizacijama potrošača i </w:t>
      </w:r>
      <w:r w:rsidR="00434D6A" w:rsidRPr="0020128B">
        <w:rPr>
          <w:rStyle w:val="normaltextrun"/>
          <w:rFonts w:ascii="Calibri" w:hAnsi="Calibri" w:cs="Calibri"/>
          <w:color w:val="000000" w:themeColor="text1"/>
          <w:lang w:val="hr-HR"/>
        </w:rPr>
        <w:t>širom javnošću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. 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O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bjedinjuju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ći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stručnost 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na razin</w:t>
      </w:r>
      <w:r w:rsidR="00CD26D0" w:rsidRPr="0020128B">
        <w:rPr>
          <w:rStyle w:val="normaltextrun"/>
          <w:rFonts w:ascii="Calibri" w:hAnsi="Calibri" w:cs="Calibri"/>
          <w:color w:val="000000" w:themeColor="text1"/>
          <w:lang w:val="hr-HR"/>
        </w:rPr>
        <w:t>i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EU-a i nacionaln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>i</w:t>
      </w:r>
      <w:r w:rsidR="00434D6A" w:rsidRPr="0020128B">
        <w:rPr>
          <w:rStyle w:val="normaltextrun"/>
          <w:rFonts w:ascii="Calibri" w:hAnsi="Calibri" w:cs="Calibri"/>
          <w:color w:val="000000" w:themeColor="text1"/>
          <w:lang w:val="hr-HR"/>
        </w:rPr>
        <w:t>m razinama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, 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koriste se najnoviji dokazi i pristupi kako bi se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osigura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lo </w:t>
      </w:r>
      <w:r w:rsidR="00CD26D0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da europski građani 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bezbrižno </w:t>
      </w:r>
      <w:r w:rsidR="00434D6A" w:rsidRPr="0020128B">
        <w:rPr>
          <w:rStyle w:val="normaltextrun"/>
          <w:rFonts w:ascii="Calibri" w:hAnsi="Calibri" w:cs="Calibri"/>
          <w:color w:val="000000" w:themeColor="text1"/>
          <w:lang w:val="hr-HR"/>
        </w:rPr>
        <w:t>uživa</w:t>
      </w:r>
      <w:r w:rsidR="00CD26D0" w:rsidRPr="0020128B">
        <w:rPr>
          <w:rStyle w:val="normaltextrun"/>
          <w:rFonts w:ascii="Calibri" w:hAnsi="Calibri" w:cs="Calibri"/>
          <w:color w:val="000000" w:themeColor="text1"/>
          <w:lang w:val="hr-HR"/>
        </w:rPr>
        <w:t>ju</w:t>
      </w:r>
      <w:r w:rsidR="00434D6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u </w:t>
      </w:r>
      <w:r w:rsidR="00CD26D0" w:rsidRPr="0020128B">
        <w:rPr>
          <w:rStyle w:val="normaltextrun"/>
          <w:rFonts w:ascii="Calibri" w:hAnsi="Calibri" w:cs="Calibri"/>
          <w:color w:val="000000" w:themeColor="text1"/>
          <w:lang w:val="hr-HR"/>
        </w:rPr>
        <w:t>svojim</w:t>
      </w:r>
      <w:r w:rsidR="00E76406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obrocima, znajući da je njihova sigurnost na prvome mjestu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.</w:t>
      </w:r>
    </w:p>
    <w:p w14:paraId="3DF8E381" w14:textId="21354D5C" w:rsidR="008C1913" w:rsidRPr="0020128B" w:rsidRDefault="008C1913" w:rsidP="0020128B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0"/>
          <w:szCs w:val="20"/>
          <w:lang w:val="hr-HR"/>
        </w:rPr>
      </w:pPr>
    </w:p>
    <w:p w14:paraId="5A935880" w14:textId="77777777" w:rsidR="0020128B" w:rsidRPr="0020128B" w:rsidRDefault="0020128B" w:rsidP="0020128B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0"/>
          <w:szCs w:val="20"/>
          <w:lang w:val="hr-HR"/>
        </w:rPr>
      </w:pPr>
    </w:p>
    <w:p w14:paraId="103C93A6" w14:textId="047B369A" w:rsidR="008C1913" w:rsidRPr="0020128B" w:rsidRDefault="00D95721" w:rsidP="0020128B">
      <w:pPr>
        <w:rPr>
          <w:rFonts w:ascii="Calibri" w:eastAsia="Calibri" w:hAnsi="Calibri" w:cs="Calibri"/>
          <w:b/>
          <w:bCs/>
          <w:color w:val="1A4489"/>
          <w:sz w:val="36"/>
          <w:szCs w:val="36"/>
          <w:lang w:val="hr-HR"/>
        </w:rPr>
      </w:pPr>
      <w:r w:rsidRPr="0020128B">
        <w:rPr>
          <w:rFonts w:ascii="Calibri" w:eastAsia="Calibri" w:hAnsi="Calibri" w:cs="Calibri"/>
          <w:b/>
          <w:bCs/>
          <w:color w:val="1A4489"/>
          <w:sz w:val="36"/>
          <w:szCs w:val="36"/>
          <w:lang w:val="hr-HR"/>
        </w:rPr>
        <w:t>Što je najvažnije pri odabiru hrane?</w:t>
      </w:r>
    </w:p>
    <w:p w14:paraId="08C60C99" w14:textId="5F623067" w:rsidR="0002650E" w:rsidRPr="0020128B" w:rsidRDefault="00D95721" w:rsidP="0020128B">
      <w:pPr>
        <w:pStyle w:val="paragraph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lang w:val="hr-HR"/>
        </w:rPr>
      </w:pP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Svakoga dana donosimo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brojne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odluk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e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o hrani,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a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čimbeni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ci koji na njih utječu </w:t>
      </w:r>
      <w:r w:rsidR="00434D6A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razlikuju se od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potrošača do potrošača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. Prema istraživanju koje je Ipsos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2024. godine proveo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o utjecaju kampanje Safe2Eat, potrošačima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su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pri odabiru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hrane i dalje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najvažniji okus, cijena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i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rok trajanja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, ali sve više promišljaju i o njezinoj sigurnosti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.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Tako je 40 % osoba koje su bile </w:t>
      </w:r>
      <w:r w:rsidR="00434D6A" w:rsidRPr="0020128B">
        <w:rPr>
          <w:rStyle w:val="eop"/>
          <w:rFonts w:ascii="Calibri" w:hAnsi="Calibri" w:cs="Calibri"/>
          <w:color w:val="000000" w:themeColor="text1"/>
          <w:lang w:val="hr-HR"/>
        </w:rPr>
        <w:t>izložene porukama kampanje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izjavilo da aktivno razmišlja</w:t>
      </w:r>
      <w:r w:rsidR="00434D6A" w:rsidRPr="0020128B">
        <w:rPr>
          <w:rStyle w:val="eop"/>
          <w:rFonts w:ascii="Calibri" w:hAnsi="Calibri" w:cs="Calibri"/>
          <w:color w:val="000000" w:themeColor="text1"/>
          <w:lang w:val="hr-HR"/>
        </w:rPr>
        <w:t>ju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o sigurnosti hrane pri kupnji, dok postotak </w:t>
      </w:r>
      <w:r w:rsidR="00434D6A" w:rsidRPr="0020128B">
        <w:rPr>
          <w:rStyle w:val="eop"/>
          <w:rFonts w:ascii="Calibri" w:hAnsi="Calibri" w:cs="Calibri"/>
          <w:color w:val="000000" w:themeColor="text1"/>
          <w:lang w:val="hr-HR"/>
        </w:rPr>
        <w:t>opće populacije koja aktivno razmišlja o sigurnosti hrane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iznosi 35 %. </w:t>
      </w:r>
      <w:r w:rsidR="00BE1FC4" w:rsidRPr="0020128B">
        <w:rPr>
          <w:rStyle w:val="eop"/>
          <w:rFonts w:ascii="Calibri" w:hAnsi="Calibri" w:cs="Calibri"/>
          <w:color w:val="000000" w:themeColor="text1"/>
          <w:lang w:val="hr-HR"/>
        </w:rPr>
        <w:t>Istraživanje je također pokazalo da se trendovi mijenjaju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; uočen je </w:t>
      </w:r>
      <w:r w:rsidR="00BE1FC4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povećan </w:t>
      </w:r>
      <w:r w:rsidR="00BE1FC4" w:rsidRPr="0020128B">
        <w:rPr>
          <w:rStyle w:val="eop"/>
          <w:rFonts w:ascii="Calibri" w:hAnsi="Calibri" w:cs="Calibri"/>
          <w:color w:val="000000" w:themeColor="text1"/>
          <w:lang w:val="hr-HR"/>
        </w:rPr>
        <w:t>interes za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minimalno 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procesiranu 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hranu, </w:t>
      </w:r>
      <w:r w:rsidR="00BE1FC4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dok </w:t>
      </w:r>
      <w:r w:rsidR="006639B4" w:rsidRPr="0020128B">
        <w:rPr>
          <w:rStyle w:val="eop"/>
          <w:rFonts w:ascii="Calibri" w:hAnsi="Calibri" w:cs="Calibri"/>
          <w:color w:val="000000" w:themeColor="text1"/>
          <w:lang w:val="hr-HR"/>
        </w:rPr>
        <w:t>je cijena sve manje odlučujući čimbenik</w:t>
      </w:r>
      <w:r w:rsidR="0002650E" w:rsidRPr="0020128B">
        <w:rPr>
          <w:rStyle w:val="eop"/>
          <w:rFonts w:ascii="Calibri" w:hAnsi="Calibri" w:cs="Calibri"/>
          <w:color w:val="000000" w:themeColor="text1"/>
          <w:lang w:val="hr-HR"/>
        </w:rPr>
        <w:t>.</w:t>
      </w:r>
    </w:p>
    <w:p w14:paraId="1B449058" w14:textId="73312800" w:rsidR="49CD1C98" w:rsidRPr="0020128B" w:rsidRDefault="00A77785" w:rsidP="0020128B">
      <w:pPr>
        <w:pStyle w:val="paragraph"/>
        <w:spacing w:before="0" w:beforeAutospacing="0" w:after="120" w:afterAutospacing="0"/>
        <w:jc w:val="both"/>
        <w:rPr>
          <w:rStyle w:val="eop"/>
          <w:rFonts w:ascii="Calibri" w:hAnsi="Calibri" w:cs="Calibri"/>
          <w:color w:val="000000" w:themeColor="text1"/>
          <w:lang w:val="hr-HR"/>
        </w:rPr>
      </w:pP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Bez obzira na čimbenike koji utječu na njihove odluke o kupnji i konzumaciji hrane, 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>europski građani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mogu biti sigurni da 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je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hrana na njihovom stolu sigurna zahvaljujući rigoroznom sustavu sigurnosti hrane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Europske unije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.</w:t>
      </w:r>
    </w:p>
    <w:p w14:paraId="194A7C5D" w14:textId="68C28825" w:rsidR="00A44C8E" w:rsidRPr="0020128B" w:rsidRDefault="00A44C8E" w:rsidP="0020128B">
      <w:pPr>
        <w:pStyle w:val="paragraph"/>
        <w:spacing w:before="0" w:beforeAutospacing="0" w:after="120" w:afterAutospacing="0"/>
        <w:jc w:val="both"/>
        <w:rPr>
          <w:rStyle w:val="eop"/>
          <w:rFonts w:ascii="Calibri" w:hAnsi="Calibri" w:cs="Calibri"/>
          <w:color w:val="000000" w:themeColor="text1"/>
          <w:lang w:val="hr-HR"/>
        </w:rPr>
      </w:pP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Europski potrošači 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među najbolje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su zaštićenima i informiranima u svijetu kada je riječ o njihovoj hrani. Znanstvenici 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širom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EU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-a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pregledavaju znanstvene podatke i studije kako bi procijenili rizike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povezane s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hran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om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, 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pružajući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podrš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ku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nadležni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m tijelima 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koj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>a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reguliraju sigurnost proizvoda na našim tržištima i u trgovinama. E</w:t>
      </w:r>
      <w:r w:rsidR="00E43099" w:rsidRPr="0020128B">
        <w:rPr>
          <w:rStyle w:val="eop"/>
          <w:rFonts w:ascii="Calibri" w:hAnsi="Calibri" w:cs="Calibri"/>
          <w:color w:val="000000" w:themeColor="text1"/>
          <w:lang w:val="hr-HR"/>
        </w:rPr>
        <w:t>uropski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sustav sigurnosti hrane osigurava da svaki Europljanin ima pravo znati kako 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s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e hrana koju konzumira proizv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odi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, obrađ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uje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, pakira, označ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ava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 xml:space="preserve"> i proda</w:t>
      </w:r>
      <w:r w:rsidR="00A77785" w:rsidRPr="0020128B">
        <w:rPr>
          <w:rStyle w:val="eop"/>
          <w:rFonts w:ascii="Calibri" w:hAnsi="Calibri" w:cs="Calibri"/>
          <w:color w:val="000000" w:themeColor="text1"/>
          <w:lang w:val="hr-HR"/>
        </w:rPr>
        <w:t>je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.</w:t>
      </w:r>
    </w:p>
    <w:p w14:paraId="46DA3A5B" w14:textId="77777777" w:rsidR="000D09ED" w:rsidRPr="0020128B" w:rsidRDefault="000D09ED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48E4A99E" w14:textId="77777777" w:rsidR="0020128B" w:rsidRPr="0020128B" w:rsidRDefault="0020128B" w:rsidP="0020128B">
      <w:pPr>
        <w:pStyle w:val="paragraph"/>
        <w:spacing w:before="0" w:beforeAutospacing="0" w:after="120" w:afterAutospacing="0"/>
        <w:jc w:val="both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0531832A" w14:textId="77777777" w:rsidR="0020128B" w:rsidRPr="0020128B" w:rsidRDefault="0020128B" w:rsidP="0020128B">
      <w:pPr>
        <w:pStyle w:val="paragraph"/>
        <w:spacing w:before="0" w:beforeAutospacing="0" w:after="120" w:afterAutospacing="0"/>
        <w:jc w:val="both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</w:p>
    <w:p w14:paraId="3CFD8FA6" w14:textId="074BE233" w:rsidR="008C1913" w:rsidRPr="0020128B" w:rsidRDefault="00D95721" w:rsidP="0020128B">
      <w:pPr>
        <w:pStyle w:val="paragraph"/>
        <w:spacing w:before="0" w:beforeAutospacing="0" w:after="120" w:afterAutospacing="0"/>
        <w:jc w:val="both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  <w:lastRenderedPageBreak/>
        <w:t>Kampanja „Safe2Eat”</w:t>
      </w:r>
    </w:p>
    <w:p w14:paraId="08E7547A" w14:textId="0F89C3CB" w:rsidR="007D23BE" w:rsidRPr="0020128B" w:rsidRDefault="007D23BE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-HR"/>
        </w:rPr>
      </w:pPr>
      <w:r w:rsidRPr="0020128B">
        <w:rPr>
          <w:rFonts w:ascii="Calibri" w:hAnsi="Calibri" w:cs="Calibri"/>
          <w:color w:val="000000"/>
          <w:lang w:val="hr-HR"/>
        </w:rPr>
        <w:t xml:space="preserve">Sada u svojoj petoj godini, kampanja Safe2Eat, koja je ranije bila poznata pod nazivom #EUChooseSafeFood, nastavlja podizati svijest </w:t>
      </w:r>
      <w:r w:rsidR="00E43099" w:rsidRPr="0020128B">
        <w:rPr>
          <w:rFonts w:ascii="Calibri" w:hAnsi="Calibri" w:cs="Calibri"/>
          <w:color w:val="000000"/>
          <w:lang w:val="hr-HR"/>
        </w:rPr>
        <w:t>europskih građana</w:t>
      </w:r>
      <w:r w:rsidRPr="0020128B">
        <w:rPr>
          <w:rFonts w:ascii="Calibri" w:hAnsi="Calibri" w:cs="Calibri"/>
          <w:color w:val="000000"/>
          <w:lang w:val="hr-HR"/>
        </w:rPr>
        <w:t xml:space="preserve"> o pitanjima sigurnosti hrane kako bi ih poticala na kritičko razmišljanje i povećala njihovu uključenost.</w:t>
      </w:r>
    </w:p>
    <w:p w14:paraId="4F51D81F" w14:textId="77777777" w:rsidR="008C1913" w:rsidRPr="0020128B" w:rsidRDefault="008C1913" w:rsidP="0020128B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</w:p>
    <w:p w14:paraId="11DCEC2A" w14:textId="3328F6BF" w:rsidR="008C1913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-HR"/>
        </w:rPr>
      </w:pP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Kampanja </w:t>
      </w:r>
      <w:r w:rsidR="007D23BE" w:rsidRPr="0020128B">
        <w:rPr>
          <w:rStyle w:val="normaltextrun"/>
          <w:rFonts w:ascii="Calibri" w:hAnsi="Calibri" w:cs="Calibri"/>
          <w:color w:val="000000"/>
          <w:lang w:val="hr-HR"/>
        </w:rPr>
        <w:t>je usmjerena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na tri ključna područja:</w:t>
      </w:r>
      <w:r w:rsidRPr="0020128B">
        <w:rPr>
          <w:rStyle w:val="eop"/>
          <w:rFonts w:ascii="Calibri" w:hAnsi="Calibri" w:cs="Calibri"/>
          <w:color w:val="000000"/>
          <w:lang w:val="hr-HR"/>
        </w:rPr>
        <w:t> </w:t>
      </w:r>
    </w:p>
    <w:p w14:paraId="78FE5E3F" w14:textId="0E33E181" w:rsidR="008C1913" w:rsidRPr="0020128B" w:rsidRDefault="00D95721" w:rsidP="0020128B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Prakse </w:t>
      </w:r>
      <w:r w:rsidR="00B13571"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koje jamče </w:t>
      </w: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>sigurnost hrane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–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uropska, međunarodna i nacionalna pravila, </w:t>
      </w:r>
      <w:r w:rsidR="007D23BE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podržana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znanstven</w:t>
      </w:r>
      <w:r w:rsidR="007D23BE" w:rsidRPr="0020128B">
        <w:rPr>
          <w:rStyle w:val="normaltextrun"/>
          <w:rFonts w:ascii="Calibri" w:hAnsi="Calibri" w:cs="Calibri"/>
          <w:color w:val="000000" w:themeColor="text1"/>
          <w:lang w:val="hr-HR"/>
        </w:rPr>
        <w:t>im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dokaz</w:t>
      </w:r>
      <w:r w:rsidR="007D23BE" w:rsidRPr="0020128B">
        <w:rPr>
          <w:rStyle w:val="normaltextrun"/>
          <w:rFonts w:ascii="Calibri" w:hAnsi="Calibri" w:cs="Calibri"/>
          <w:color w:val="000000" w:themeColor="text1"/>
          <w:lang w:val="hr-HR"/>
        </w:rPr>
        <w:t>ima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, o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>mogućavaju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sigurnost hrane od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polja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do stola.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Kako bi se potrošačima omogućilo donošenje informiranih odluka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>,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pružaju se s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avjeti za sigurno rukovanje hranom, skladištenje, čitanje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oznaka na hrani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 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>termičku obradu hrane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, koji su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temelje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ni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na najnovijim znanstvenim otkrićima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.</w:t>
      </w:r>
    </w:p>
    <w:p w14:paraId="5172A181" w14:textId="5EBEE398" w:rsidR="008C1913" w:rsidRPr="0020128B" w:rsidRDefault="00D95721" w:rsidP="0020128B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2"/>
          <w:szCs w:val="22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>Hrana i vaše zdravlje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–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Konzumacija r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aznovrsn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prehran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, koja uz 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procesiranu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hranu uključuje i svježe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namirnice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,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doprinosi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cjelokupnom zdravlju. </w:t>
      </w:r>
      <w:r w:rsidR="00B13571" w:rsidRPr="0020128B">
        <w:rPr>
          <w:rStyle w:val="normaltextrun"/>
          <w:rFonts w:ascii="Calibri" w:hAnsi="Calibri" w:cs="Calibri"/>
          <w:color w:val="000000" w:themeColor="text1"/>
          <w:lang w:val="hr-HR"/>
        </w:rPr>
        <w:t>P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ojedincima s posebnim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zdravstvenim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stanjima, mo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že biti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po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treb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na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nutritivno obogaćena hrana ili dodaci prehrani, stoga kampanja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pruža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jasn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e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>, znanstveno utemeljene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informacije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o nutritivnim potrebama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zdravstvenim tvrdnjama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>.</w:t>
      </w:r>
    </w:p>
    <w:p w14:paraId="6FC36779" w14:textId="1B9C2B98" w:rsidR="008C1913" w:rsidRPr="0020128B" w:rsidRDefault="00D95721" w:rsidP="0020128B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Style w:val="eop"/>
          <w:rFonts w:ascii="Calibri" w:eastAsiaTheme="minorHAnsi" w:hAnsi="Calibri" w:cs="Calibri"/>
          <w:color w:val="000000"/>
          <w:sz w:val="19"/>
          <w:szCs w:val="22"/>
          <w:lang w:val="hr-HR" w:eastAsia="en-US"/>
        </w:rPr>
      </w:pPr>
      <w:r w:rsidRPr="0020128B">
        <w:rPr>
          <w:rStyle w:val="normaltextrun"/>
          <w:rFonts w:ascii="Calibri" w:hAnsi="Calibri" w:cs="Calibri"/>
          <w:b/>
          <w:bCs/>
          <w:color w:val="000000"/>
          <w:lang w:val="hr-HR"/>
        </w:rPr>
        <w:t>Što se nalazi u vašoj hrani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– 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>E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>uropski propisi o</w:t>
      </w:r>
      <w:r w:rsidR="00E43099" w:rsidRPr="0020128B">
        <w:rPr>
          <w:rStyle w:val="normaltextrun"/>
          <w:rFonts w:ascii="Calibri" w:hAnsi="Calibri" w:cs="Calibri"/>
          <w:color w:val="000000"/>
          <w:lang w:val="hr-HR"/>
        </w:rPr>
        <w:t>mogućavaju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sigurnost sastojaka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 xml:space="preserve"> u hrani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, uključujući aditive i 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>arome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>.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 xml:space="preserve"> 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Kampanja nastoji objasniti zašto su aditivi 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 xml:space="preserve">u hrani 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>i nov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>e vrste hrane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sigurni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 xml:space="preserve"> te također 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ističe </w:t>
      </w:r>
      <w:r w:rsidR="00E43099" w:rsidRPr="0020128B">
        <w:rPr>
          <w:rStyle w:val="normaltextrun"/>
          <w:rFonts w:ascii="Calibri" w:hAnsi="Calibri" w:cs="Calibri"/>
          <w:color w:val="000000"/>
          <w:lang w:val="hr-HR"/>
        </w:rPr>
        <w:t>obvezu jasnog označavanja proizvoda koji sadrže alergene.</w:t>
      </w:r>
    </w:p>
    <w:p w14:paraId="6FF97A3E" w14:textId="566D9970" w:rsidR="008C1913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lang w:val="hr-HR"/>
        </w:rPr>
      </w:pP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Cilj je kampanje Safe2Eat doprijeti do šire javnosti, od osoba koje imaju vrlo razvijenu svijest o sigurnosti hrane i vrlo malo dvojbi o tom pitanju do onih koji imaju više dvojbi i slabije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su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informirani. U skladu s tim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>,</w:t>
      </w:r>
      <w:r w:rsidR="007A3289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kroz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kampanj</w:t>
      </w:r>
      <w:r w:rsidR="007A3289" w:rsidRPr="0020128B">
        <w:rPr>
          <w:rStyle w:val="normaltextrun"/>
          <w:rFonts w:ascii="Calibri" w:hAnsi="Calibri" w:cs="Calibri"/>
          <w:color w:val="000000" w:themeColor="text1"/>
          <w:lang w:val="hr-HR"/>
        </w:rPr>
        <w:t>u se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nastoji komunicirati </w:t>
      </w:r>
      <w:r w:rsidR="00E43099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željene poruke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na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informativan i jasan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način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, pritom zadrž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avajuć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poticajan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, optimističan i dinamičan ton.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 </w:t>
      </w:r>
    </w:p>
    <w:p w14:paraId="50D39BE7" w14:textId="77777777" w:rsidR="008C1913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0"/>
          <w:szCs w:val="20"/>
          <w:lang w:val="hr-HR"/>
        </w:rPr>
      </w:pPr>
      <w:r w:rsidRPr="0020128B">
        <w:rPr>
          <w:rStyle w:val="eop"/>
          <w:rFonts w:ascii="Calibri" w:hAnsi="Calibri" w:cs="Calibri"/>
          <w:color w:val="000000"/>
          <w:lang w:val="hr-HR"/>
        </w:rPr>
        <w:t> </w:t>
      </w:r>
    </w:p>
    <w:p w14:paraId="6110BEAA" w14:textId="77777777" w:rsidR="008C1913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  <w:t>Kako se uključiti? </w:t>
      </w:r>
      <w:r w:rsidRPr="0020128B">
        <w:rPr>
          <w:rStyle w:val="eop"/>
          <w:rFonts w:ascii="Calibri" w:hAnsi="Calibri" w:cs="Calibri"/>
          <w:color w:val="1A4489"/>
          <w:sz w:val="36"/>
          <w:szCs w:val="36"/>
          <w:lang w:val="hr-HR"/>
        </w:rPr>
        <w:t> </w:t>
      </w:r>
    </w:p>
    <w:p w14:paraId="7DC72900" w14:textId="77777777" w:rsidR="008C1913" w:rsidRPr="0020128B" w:rsidRDefault="00D95721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lang w:val="hr-HR"/>
        </w:rPr>
        <w:t>U kampanju se možete uključiti na nekoliko načina, a brojni resursi kampanje dostupni su na više jezika EU-a: </w:t>
      </w:r>
      <w:r w:rsidRPr="0020128B">
        <w:rPr>
          <w:rStyle w:val="eop"/>
          <w:rFonts w:ascii="Calibri" w:hAnsi="Calibri" w:cs="Calibri"/>
          <w:lang w:val="hr-HR"/>
        </w:rPr>
        <w:t> </w:t>
      </w:r>
    </w:p>
    <w:p w14:paraId="3C63C53B" w14:textId="0CC4108A" w:rsidR="008C1913" w:rsidRPr="0020128B" w:rsidRDefault="00D95721" w:rsidP="0020128B">
      <w:pPr>
        <w:pStyle w:val="paragraph"/>
        <w:numPr>
          <w:ilvl w:val="0"/>
          <w:numId w:val="12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Podijelite materijale 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 xml:space="preserve">kampanje 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i pomozite </w:t>
      </w:r>
      <w:r w:rsidR="00FB452A" w:rsidRPr="0020128B">
        <w:rPr>
          <w:rStyle w:val="normaltextrun"/>
          <w:rFonts w:ascii="Calibri" w:hAnsi="Calibri" w:cs="Calibri"/>
          <w:color w:val="000000"/>
          <w:lang w:val="hr-HR"/>
        </w:rPr>
        <w:t xml:space="preserve">građanima 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>da, neovisno o tome kako biraju hranu, imaju povjerenja u to da je sigurna za jelo.</w:t>
      </w:r>
      <w:r w:rsidRPr="0020128B">
        <w:rPr>
          <w:rStyle w:val="eop"/>
          <w:rFonts w:ascii="Calibri" w:hAnsi="Calibri" w:cs="Calibri"/>
          <w:color w:val="000000"/>
          <w:lang w:val="hr-HR"/>
        </w:rPr>
        <w:t> </w:t>
      </w:r>
    </w:p>
    <w:p w14:paraId="5A9234B6" w14:textId="4A13BA6E" w:rsidR="008C1913" w:rsidRPr="0020128B" w:rsidRDefault="00D95721" w:rsidP="0020128B">
      <w:pPr>
        <w:pStyle w:val="paragraph"/>
        <w:numPr>
          <w:ilvl w:val="0"/>
          <w:numId w:val="12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Posjetite mrežn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u stranicu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kampanje na koj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oj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možete pronaći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praktičn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savjet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>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za odabir hrane i </w:t>
      </w:r>
      <w:r w:rsidR="00FB452A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informirati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potrošače o znanosti zahvaljujući kojoj je naša hrana sigurna za jelo.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 </w:t>
      </w:r>
    </w:p>
    <w:p w14:paraId="35FD0083" w14:textId="0A439A18" w:rsidR="008C1913" w:rsidRPr="0020128B" w:rsidRDefault="00D95721" w:rsidP="0020128B">
      <w:pPr>
        <w:pStyle w:val="paragraph"/>
        <w:numPr>
          <w:ilvl w:val="0"/>
          <w:numId w:val="12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Ostanite povezani;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>p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ratite EFSA-u na </w:t>
      </w:r>
      <w:r w:rsidR="008F4835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društvenim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mrežama LinkedIn, Instagram i YouTube te dijelite najnovije vijesti o kampanji</w:t>
      </w:r>
      <w:r w:rsidR="008F4835" w:rsidRPr="0020128B">
        <w:rPr>
          <w:rStyle w:val="normaltextrun"/>
          <w:rFonts w:ascii="Calibri" w:hAnsi="Calibri" w:cs="Calibri"/>
          <w:color w:val="000000" w:themeColor="text1"/>
          <w:lang w:val="hr-HR"/>
        </w:rPr>
        <w:t>.</w:t>
      </w:r>
    </w:p>
    <w:p w14:paraId="5FD4801A" w14:textId="3AC0B2F0" w:rsidR="00FB452A" w:rsidRPr="0020128B" w:rsidRDefault="00D95721" w:rsidP="0020128B">
      <w:pPr>
        <w:pStyle w:val="paragraph"/>
        <w:numPr>
          <w:ilvl w:val="0"/>
          <w:numId w:val="12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Proširite vijest o našim zajedničkim naporima u području sigurne hrane i znanosti koja to potvrđuje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koristeći </w:t>
      </w:r>
      <w:r w:rsidR="00FC63A1" w:rsidRPr="0020128B">
        <w:rPr>
          <w:rStyle w:val="normaltextrun"/>
          <w:rFonts w:ascii="Calibri" w:hAnsi="Calibri" w:cs="Calibri"/>
          <w:i/>
          <w:iCs/>
          <w:color w:val="000000" w:themeColor="text1"/>
          <w:lang w:val="hr-HR"/>
        </w:rPr>
        <w:t>hashtagove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kampanje #Safe2EatEU kako biste se uključili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 promicali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aktivnosti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kampanje</w:t>
      </w:r>
    </w:p>
    <w:p w14:paraId="718C8244" w14:textId="77777777" w:rsidR="008C1913" w:rsidRPr="0020128B" w:rsidRDefault="00D95721" w:rsidP="0020128B">
      <w:pPr>
        <w:pStyle w:val="paragraph"/>
        <w:spacing w:before="0" w:beforeAutospacing="0" w:after="120" w:afterAutospacing="0"/>
        <w:ind w:left="36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  <w:r w:rsidRPr="0020128B">
        <w:rPr>
          <w:rStyle w:val="eop"/>
          <w:rFonts w:ascii="Calibri" w:hAnsi="Calibri" w:cs="Calibri"/>
          <w:color w:val="000000"/>
          <w:lang w:val="hr-HR"/>
        </w:rPr>
        <w:t> </w:t>
      </w:r>
    </w:p>
    <w:p w14:paraId="366E4E0F" w14:textId="0D9D702A" w:rsidR="008C1913" w:rsidRPr="0020128B" w:rsidRDefault="00FB452A" w:rsidP="0020128B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  <w:lastRenderedPageBreak/>
        <w:t>Materijali kampanje </w:t>
      </w:r>
      <w:r w:rsidRPr="0020128B">
        <w:rPr>
          <w:rStyle w:val="eop"/>
          <w:rFonts w:ascii="Calibri" w:hAnsi="Calibri" w:cs="Calibri"/>
          <w:color w:val="1A4489"/>
          <w:sz w:val="36"/>
          <w:szCs w:val="36"/>
          <w:lang w:val="hr-HR"/>
        </w:rPr>
        <w:t> </w:t>
      </w:r>
    </w:p>
    <w:p w14:paraId="0AAC44DF" w14:textId="0BFE4FEB" w:rsidR="008C1913" w:rsidRPr="0020128B" w:rsidRDefault="00FC63A1" w:rsidP="0020128B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-HR"/>
        </w:rPr>
      </w:pPr>
      <w:r w:rsidRPr="0020128B">
        <w:rPr>
          <w:rStyle w:val="normaltextrun"/>
          <w:rFonts w:ascii="Calibri" w:hAnsi="Calibri" w:cs="Calibri"/>
          <w:color w:val="000000"/>
          <w:lang w:val="hr-HR"/>
        </w:rPr>
        <w:t>Materijali kampanje dostupni su dionicima na nacionalnoj razini na lokalnom jeziku kako bi im se olakšalo širenje informacija o kampanji.</w:t>
      </w:r>
      <w:r w:rsidRPr="0020128B">
        <w:rPr>
          <w:rStyle w:val="eop"/>
          <w:rFonts w:ascii="Calibri" w:hAnsi="Calibri" w:cs="Calibri"/>
          <w:color w:val="000000"/>
          <w:lang w:val="hr-HR"/>
        </w:rPr>
        <w:t> </w:t>
      </w:r>
    </w:p>
    <w:p w14:paraId="1D31A973" w14:textId="571FF317" w:rsidR="008C1913" w:rsidRPr="0020128B" w:rsidRDefault="00D95721" w:rsidP="0020128B">
      <w:pPr>
        <w:pStyle w:val="paragraph"/>
        <w:numPr>
          <w:ilvl w:val="0"/>
          <w:numId w:val="13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000000"/>
          <w:lang w:val="hr-HR"/>
        </w:rPr>
        <w:t>Pozadina kampanje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– </w:t>
      </w:r>
      <w:r w:rsidR="00FC63A1" w:rsidRPr="0020128B">
        <w:rPr>
          <w:rStyle w:val="normaltextrun"/>
          <w:rFonts w:ascii="Calibri" w:hAnsi="Calibri" w:cs="Calibri"/>
          <w:color w:val="000000"/>
          <w:lang w:val="hr-HR"/>
        </w:rPr>
        <w:t>o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>v</w:t>
      </w:r>
      <w:r w:rsidR="00FC63A1" w:rsidRPr="0020128B">
        <w:rPr>
          <w:rStyle w:val="normaltextrun"/>
          <w:rFonts w:ascii="Calibri" w:hAnsi="Calibri" w:cs="Calibri"/>
          <w:color w:val="000000"/>
          <w:lang w:val="hr-HR"/>
        </w:rPr>
        <w:t>aj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dokument daje pregled ciljeva, tema</w:t>
      </w:r>
      <w:r w:rsidR="00FC63A1" w:rsidRPr="0020128B">
        <w:rPr>
          <w:rStyle w:val="normaltextrun"/>
          <w:rFonts w:ascii="Calibri" w:hAnsi="Calibri" w:cs="Calibri"/>
          <w:color w:val="000000"/>
          <w:lang w:val="hr-HR"/>
        </w:rPr>
        <w:t xml:space="preserve"> i</w:t>
      </w:r>
      <w:r w:rsidRPr="0020128B">
        <w:rPr>
          <w:rStyle w:val="normaltextrun"/>
          <w:rFonts w:ascii="Calibri" w:hAnsi="Calibri" w:cs="Calibri"/>
          <w:color w:val="000000"/>
          <w:lang w:val="hr-HR"/>
        </w:rPr>
        <w:t xml:space="preserve"> ciljane skupine kampanje. Može se upotrebljavati pri izradi sadržaja povezanog s kampanjom ili podijeliti u izvornom obliku.</w:t>
      </w:r>
      <w:r w:rsidRPr="0020128B">
        <w:rPr>
          <w:rStyle w:val="eop"/>
          <w:rFonts w:ascii="Calibri" w:hAnsi="Calibri" w:cs="Calibri"/>
          <w:color w:val="000000"/>
          <w:lang w:val="hr-HR"/>
        </w:rPr>
        <w:t> </w:t>
      </w:r>
    </w:p>
    <w:p w14:paraId="153E5D8C" w14:textId="0C15459B" w:rsidR="008C1913" w:rsidRPr="0020128B" w:rsidRDefault="00D95721" w:rsidP="0020128B">
      <w:pPr>
        <w:pStyle w:val="paragraph"/>
        <w:numPr>
          <w:ilvl w:val="0"/>
          <w:numId w:val="13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Ključni vizuali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–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vizuali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koji pokrivaju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teme o kojima se govori u kampanji.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>P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rikladni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su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za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korištenje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na vaš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>oj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>mrežnoj stranici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, društvenim mrežama, u biltenima ili na drug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im 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relevantn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>im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platform</w:t>
      </w:r>
      <w:r w:rsidR="00FC63A1" w:rsidRPr="0020128B">
        <w:rPr>
          <w:rStyle w:val="normaltextrun"/>
          <w:rFonts w:ascii="Calibri" w:hAnsi="Calibri" w:cs="Calibri"/>
          <w:color w:val="000000" w:themeColor="text1"/>
          <w:lang w:val="hr-HR"/>
        </w:rPr>
        <w:t>ama</w:t>
      </w:r>
      <w:r w:rsidRPr="0020128B">
        <w:rPr>
          <w:rStyle w:val="normaltextrun"/>
          <w:rFonts w:ascii="Calibri" w:hAnsi="Calibri" w:cs="Calibri"/>
          <w:color w:val="000000" w:themeColor="text1"/>
          <w:lang w:val="hr-HR"/>
        </w:rPr>
        <w:t>.</w:t>
      </w:r>
      <w:r w:rsidRPr="0020128B">
        <w:rPr>
          <w:rStyle w:val="eop"/>
          <w:rFonts w:ascii="Calibri" w:hAnsi="Calibri" w:cs="Calibri"/>
          <w:color w:val="000000" w:themeColor="text1"/>
          <w:lang w:val="hr-HR"/>
        </w:rPr>
        <w:t> </w:t>
      </w:r>
    </w:p>
    <w:p w14:paraId="14978340" w14:textId="59EC5ACF" w:rsidR="008C1913" w:rsidRPr="0020128B" w:rsidRDefault="00FC63A1" w:rsidP="0020128B">
      <w:pPr>
        <w:pStyle w:val="paragraph"/>
        <w:numPr>
          <w:ilvl w:val="0"/>
          <w:numId w:val="13"/>
        </w:numPr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>O</w:t>
      </w:r>
      <w:r w:rsidR="00D95721"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bjave </w:t>
      </w: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spremne </w:t>
      </w:r>
      <w:r w:rsidR="00D95721"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za </w:t>
      </w: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dijeljenje na </w:t>
      </w:r>
      <w:r w:rsidR="00D95721"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>društven</w:t>
      </w: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>im</w:t>
      </w:r>
      <w:r w:rsidR="00D95721"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 xml:space="preserve"> mrež</w:t>
      </w:r>
      <w:r w:rsidRPr="0020128B">
        <w:rPr>
          <w:rStyle w:val="normaltextrun"/>
          <w:rFonts w:ascii="Calibri" w:hAnsi="Calibri" w:cs="Calibri"/>
          <w:b/>
          <w:bCs/>
          <w:color w:val="000000" w:themeColor="text1"/>
          <w:lang w:val="hr-HR"/>
        </w:rPr>
        <w:t>ama</w:t>
      </w:r>
      <w:r w:rsidR="00D9572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 – možete ih dijeliti </w:t>
      </w:r>
      <w:r w:rsidR="00E85E74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putem vaših profila </w:t>
      </w:r>
      <w:r w:rsidR="00D9572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na društvenim mrežama </w:t>
      </w:r>
      <w:r w:rsidR="00E85E74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koristeći </w:t>
      </w:r>
      <w:r w:rsidR="00D95721" w:rsidRPr="0020128B">
        <w:rPr>
          <w:rStyle w:val="normaltextrun"/>
          <w:rFonts w:ascii="Calibri" w:hAnsi="Calibri" w:cs="Calibri"/>
          <w:color w:val="000000" w:themeColor="text1"/>
          <w:lang w:val="hr-HR"/>
        </w:rPr>
        <w:t>služben</w:t>
      </w:r>
      <w:r w:rsidR="00E85E74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i </w:t>
      </w:r>
      <w:r w:rsidR="00E85E74" w:rsidRPr="0020128B">
        <w:rPr>
          <w:rStyle w:val="normaltextrun"/>
          <w:rFonts w:ascii="Calibri" w:hAnsi="Calibri" w:cs="Calibri"/>
          <w:i/>
          <w:iCs/>
          <w:color w:val="000000" w:themeColor="text1"/>
          <w:lang w:val="hr-HR"/>
        </w:rPr>
        <w:t xml:space="preserve">hashtag </w:t>
      </w:r>
      <w:r w:rsidR="00D95721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kampanje #Safe2EatEU. Da biste povećali vidljivost spomenite EFSA-u pri </w:t>
      </w:r>
      <w:r w:rsidR="00E85E74" w:rsidRPr="0020128B">
        <w:rPr>
          <w:rStyle w:val="normaltextrun"/>
          <w:rFonts w:ascii="Calibri" w:hAnsi="Calibri" w:cs="Calibri"/>
          <w:color w:val="000000" w:themeColor="text1"/>
          <w:lang w:val="hr-HR"/>
        </w:rPr>
        <w:t xml:space="preserve">dijeljenju </w:t>
      </w:r>
      <w:r w:rsidR="00D95721" w:rsidRPr="0020128B">
        <w:rPr>
          <w:rStyle w:val="normaltextrun"/>
          <w:rFonts w:ascii="Calibri" w:hAnsi="Calibri" w:cs="Calibri"/>
          <w:color w:val="000000" w:themeColor="text1"/>
          <w:lang w:val="hr-HR"/>
        </w:rPr>
        <w:t>poruka.</w:t>
      </w:r>
      <w:r w:rsidR="00D95721" w:rsidRPr="0020128B">
        <w:rPr>
          <w:rStyle w:val="eop"/>
          <w:rFonts w:ascii="Calibri" w:hAnsi="Calibri" w:cs="Calibri"/>
          <w:color w:val="000000" w:themeColor="text1"/>
          <w:lang w:val="hr-HR"/>
        </w:rPr>
        <w:t> </w:t>
      </w:r>
    </w:p>
    <w:p w14:paraId="3C6506FE" w14:textId="19D7F58D" w:rsidR="00FC63A1" w:rsidRPr="0020128B" w:rsidRDefault="00FC63A1" w:rsidP="0020128B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rFonts w:ascii="Calibri" w:hAnsi="Calibri" w:cs="Calibri"/>
          <w:lang w:val="hr-HR"/>
        </w:rPr>
      </w:pPr>
    </w:p>
    <w:p w14:paraId="1392FB5B" w14:textId="77777777" w:rsidR="008C1913" w:rsidRPr="0020128B" w:rsidRDefault="008C1913" w:rsidP="008C1913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  <w:lang w:val="hr-HR"/>
        </w:rPr>
      </w:pPr>
    </w:p>
    <w:p w14:paraId="08C18204" w14:textId="77777777" w:rsidR="008C1913" w:rsidRPr="0020128B" w:rsidRDefault="00D95721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  <w:r w:rsidRPr="0020128B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-HR"/>
        </w:rPr>
        <w:t>Kontakt </w:t>
      </w:r>
      <w:r w:rsidRPr="0020128B">
        <w:rPr>
          <w:rStyle w:val="eop"/>
          <w:rFonts w:ascii="Calibri" w:hAnsi="Calibri" w:cs="Calibri"/>
          <w:color w:val="1A4489"/>
          <w:sz w:val="36"/>
          <w:szCs w:val="36"/>
          <w:lang w:val="hr-HR"/>
        </w:rPr>
        <w:t> </w:t>
      </w:r>
    </w:p>
    <w:p w14:paraId="02A59086" w14:textId="77777777" w:rsidR="008C1913" w:rsidRPr="0020128B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  <w:hyperlink r:id="rId11" w:tgtFrame="_blank" w:history="1">
        <w:r w:rsidRPr="0020128B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hr-HR"/>
          </w:rPr>
          <w:t>Ured EFSA-e za odnose s medijima</w:t>
        </w:r>
      </w:hyperlink>
      <w:r w:rsidRPr="0020128B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24A61995" w14:textId="77777777" w:rsidR="008C1913" w:rsidRPr="0020128B" w:rsidRDefault="00D95721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  <w:r w:rsidRPr="0020128B">
        <w:rPr>
          <w:rStyle w:val="normaltextrun"/>
          <w:rFonts w:ascii="Calibri" w:hAnsi="Calibri" w:cs="Calibri"/>
          <w:sz w:val="22"/>
          <w:szCs w:val="22"/>
          <w:lang w:val="hr-HR"/>
        </w:rPr>
        <w:t>Tel.: </w:t>
      </w:r>
      <w:hyperlink r:id="rId12" w:tgtFrame="_blank" w:history="1">
        <w:r w:rsidR="008C1913" w:rsidRPr="0020128B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hr-HR"/>
          </w:rPr>
          <w:t>+39 0521 036 149</w:t>
        </w:r>
      </w:hyperlink>
      <w:r w:rsidRPr="0020128B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14:paraId="750717CC" w14:textId="70A46E92" w:rsidR="00795E02" w:rsidRPr="0020128B" w:rsidRDefault="00D95721" w:rsidP="0020128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-HR"/>
        </w:rPr>
      </w:pPr>
      <w:r w:rsidRPr="0020128B">
        <w:rPr>
          <w:rStyle w:val="normaltextrun"/>
          <w:rFonts w:ascii="Calibri" w:hAnsi="Calibri" w:cs="Calibri"/>
          <w:sz w:val="22"/>
          <w:szCs w:val="22"/>
          <w:lang w:val="hr-HR"/>
        </w:rPr>
        <w:t>e-pošta: </w:t>
      </w:r>
      <w:hyperlink r:id="rId13" w:tgtFrame="_blank" w:history="1">
        <w:r w:rsidR="008C1913" w:rsidRPr="0020128B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hr-HR"/>
          </w:rPr>
          <w:t>press@efsa.europa.eu</w:t>
        </w:r>
      </w:hyperlink>
      <w:r w:rsidRPr="0020128B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sectPr w:rsidR="00795E02" w:rsidRPr="0020128B" w:rsidSect="00FB1E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276D" w14:textId="77777777" w:rsidR="0042395A" w:rsidRDefault="0042395A">
      <w:pPr>
        <w:spacing w:after="0"/>
      </w:pPr>
      <w:r>
        <w:separator/>
      </w:r>
    </w:p>
  </w:endnote>
  <w:endnote w:type="continuationSeparator" w:id="0">
    <w:p w14:paraId="2233092F" w14:textId="77777777" w:rsidR="0042395A" w:rsidRDefault="004239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7F52C0" w14:paraId="357458C4" w14:textId="77777777" w:rsidTr="0073258A">
      <w:tc>
        <w:tcPr>
          <w:tcW w:w="8505" w:type="dxa"/>
          <w:shd w:val="clear" w:color="auto" w:fill="auto"/>
        </w:tcPr>
        <w:p w14:paraId="63EA7AC2" w14:textId="77777777" w:rsidR="00246A65" w:rsidRDefault="00246A65" w:rsidP="00246A65">
          <w:pPr>
            <w:pStyle w:val="Footer"/>
          </w:pPr>
        </w:p>
      </w:tc>
    </w:tr>
  </w:tbl>
  <w:p w14:paraId="4B7E2D72" w14:textId="77777777" w:rsidR="00246A65" w:rsidRPr="005B3B3E" w:rsidRDefault="00246A65" w:rsidP="00246A65">
    <w:pPr>
      <w:pStyle w:val="Footer"/>
    </w:pPr>
  </w:p>
  <w:p w14:paraId="42A24AE0" w14:textId="77777777" w:rsidR="00246A65" w:rsidRPr="00EA7E45" w:rsidRDefault="00246A65" w:rsidP="00246A65">
    <w:pPr>
      <w:pStyle w:val="Footer"/>
    </w:pPr>
  </w:p>
  <w:p w14:paraId="671F52C2" w14:textId="77777777" w:rsidR="00246A65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7F52C0" w14:paraId="0EC081B4" w14:textId="77777777" w:rsidTr="00246A65">
      <w:tc>
        <w:tcPr>
          <w:tcW w:w="8505" w:type="dxa"/>
          <w:shd w:val="clear" w:color="auto" w:fill="auto"/>
        </w:tcPr>
        <w:p w14:paraId="3201EBD1" w14:textId="77777777" w:rsidR="00246A65" w:rsidRDefault="00246A65" w:rsidP="00EA7E45">
          <w:pPr>
            <w:pStyle w:val="Footer"/>
          </w:pPr>
        </w:p>
      </w:tc>
    </w:tr>
  </w:tbl>
  <w:p w14:paraId="0A3C8287" w14:textId="77777777" w:rsidR="00EA7E45" w:rsidRPr="005B3B3E" w:rsidRDefault="00EA7E45" w:rsidP="00EA7E45">
    <w:pPr>
      <w:pStyle w:val="Footer"/>
    </w:pPr>
  </w:p>
  <w:p w14:paraId="4E6827FE" w14:textId="77777777" w:rsidR="00EA7E45" w:rsidRPr="00EA7E45" w:rsidRDefault="00EA7E45" w:rsidP="00E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B224" w14:textId="77777777" w:rsidR="0042395A" w:rsidRDefault="0042395A">
      <w:pPr>
        <w:spacing w:after="0"/>
      </w:pPr>
      <w:r>
        <w:separator/>
      </w:r>
    </w:p>
  </w:footnote>
  <w:footnote w:type="continuationSeparator" w:id="0">
    <w:p w14:paraId="09F7D174" w14:textId="77777777" w:rsidR="0042395A" w:rsidRDefault="004239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894E" w14:textId="77777777" w:rsidR="00EA7E45" w:rsidRDefault="00D95721" w:rsidP="00EA7E45">
    <w:pPr>
      <w:pStyle w:val="Header"/>
      <w:jc w:val="right"/>
    </w:pP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66BCC7" wp14:editId="286502B3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5" o:spid="_x0000_s2049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fillcolor="white" stroked="f" strokeweight="1pt"/>
          </w:pict>
        </mc:Fallback>
      </mc:AlternateContent>
    </w:r>
    <w:r>
      <w:rPr>
        <w:noProof/>
        <w:lang w:val="hr"/>
      </w:rPr>
      <w:drawing>
        <wp:anchor distT="0" distB="0" distL="114300" distR="114300" simplePos="0" relativeHeight="251665408" behindDoc="0" locked="0" layoutInCell="1" allowOverlap="1" wp14:anchorId="46254FCA" wp14:editId="2072CC28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w:t xml:space="preserve"> </w:t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0ED0DA" wp14:editId="266F2F7C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8C2E24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63D30300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312714CE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4355FBB3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ED0DA" id="Rectangle 14" o:spid="_x0000_s1026" style="position:absolute;left:0;text-align:left;margin-left:-86pt;margin-top:-34.3pt;width:596.65pt;height:9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" fillcolor="#787878" stroked="f" strokeweight="1pt">
              <v:textbox>
                <w:txbxContent>
                  <w:p w14:paraId="738C2E24" w14:textId="77777777" w:rsidR="00795E02" w:rsidRPr="0059261D" w:rsidRDefault="00795E02" w:rsidP="00795E02">
                    <w:pPr>
                      <w:pStyle w:val="Heading4"/>
                    </w:pPr>
                  </w:p>
                  <w:p w14:paraId="63D30300" w14:textId="77777777" w:rsidR="00795E02" w:rsidRPr="0059261D" w:rsidRDefault="00795E02" w:rsidP="00795E02">
                    <w:pPr>
                      <w:pStyle w:val="Heading4"/>
                    </w:pPr>
                  </w:p>
                  <w:p w14:paraId="312714CE" w14:textId="77777777" w:rsidR="00795E02" w:rsidRPr="0059261D" w:rsidRDefault="00795E02" w:rsidP="00795E02">
                    <w:pPr>
                      <w:pStyle w:val="Heading3"/>
                    </w:pPr>
                  </w:p>
                  <w:p w14:paraId="4355FBB3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55E62404" w14:textId="77777777" w:rsidR="00795E02" w:rsidRPr="0059261D" w:rsidRDefault="00D95721" w:rsidP="00795E02">
    <w:pPr>
      <w:pStyle w:val="Heading4"/>
    </w:pPr>
    <w:r>
      <w:rPr>
        <w:lang w:val="hr"/>
      </w:rPr>
      <w:t>POZADINA</w:t>
    </w:r>
  </w:p>
  <w:p w14:paraId="79008D82" w14:textId="77777777" w:rsidR="00246A65" w:rsidRPr="00246A65" w:rsidRDefault="00000000" w:rsidP="008C1913">
    <w:pPr>
      <w:pStyle w:val="Heading4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95721">
          <w:rPr>
            <w:lang w:val="hr"/>
          </w:rPr>
          <w:t>SAFE2EAT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63F7" w14:textId="77777777" w:rsidR="00EA7E45" w:rsidRDefault="00D95721" w:rsidP="00EA7E45">
    <w:pPr>
      <w:pStyle w:val="Header"/>
    </w:pPr>
    <w:r>
      <w:rPr>
        <w:noProof/>
        <w:lang w:val="hr"/>
      </w:rPr>
      <w:drawing>
        <wp:anchor distT="0" distB="0" distL="114300" distR="114300" simplePos="0" relativeHeight="251660288" behindDoc="0" locked="0" layoutInCell="1" allowOverlap="1" wp14:anchorId="127D7E4B" wp14:editId="7362B957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w:drawing>
        <wp:anchor distT="0" distB="0" distL="114300" distR="114300" simplePos="0" relativeHeight="251668480" behindDoc="0" locked="0" layoutInCell="1" allowOverlap="1" wp14:anchorId="2D6D445B" wp14:editId="53E4136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82C2E" wp14:editId="6D53C689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34920" w14:textId="77777777" w:rsidR="00A9632A" w:rsidRDefault="00A9632A" w:rsidP="0059261D">
                          <w:pPr>
                            <w:pStyle w:val="Heading4"/>
                          </w:pPr>
                        </w:p>
                        <w:p w14:paraId="07F94059" w14:textId="77777777" w:rsidR="0059261D" w:rsidRPr="0059261D" w:rsidRDefault="00D95721" w:rsidP="0059261D">
                          <w:pPr>
                            <w:pStyle w:val="Heading4"/>
                          </w:pPr>
                          <w:r>
                            <w:rPr>
                              <w:lang w:val="hr"/>
                            </w:rPr>
                            <w:t xml:space="preserve">POZADINA </w:t>
                          </w:r>
                        </w:p>
                        <w:p w14:paraId="00264338" w14:textId="77777777" w:rsidR="0059261D" w:rsidRPr="0059261D" w:rsidRDefault="0059261D" w:rsidP="0059261D">
                          <w:pPr>
                            <w:pStyle w:val="Heading4"/>
                          </w:pPr>
                        </w:p>
                        <w:p w14:paraId="56ED6740" w14:textId="77777777" w:rsidR="0059261D" w:rsidRPr="0059261D" w:rsidRDefault="00D95721" w:rsidP="0059261D">
                          <w:pPr>
                            <w:pStyle w:val="Heading3"/>
                          </w:pPr>
                          <w:r>
                            <w:rPr>
                              <w:lang w:val="hr"/>
                            </w:rP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2C2E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" filled="f" stroked="f" strokeweight=".5pt">
              <v:textbox>
                <w:txbxContent>
                  <w:p w14:paraId="7C634920" w14:textId="77777777" w:rsidR="00A9632A" w:rsidRDefault="00A9632A" w:rsidP="0059261D">
                    <w:pPr>
                      <w:pStyle w:val="Heading4"/>
                    </w:pPr>
                  </w:p>
                  <w:p w14:paraId="07F94059" w14:textId="77777777" w:rsidR="0059261D" w:rsidRPr="0059261D" w:rsidRDefault="00D95721" w:rsidP="0059261D">
                    <w:pPr>
                      <w:pStyle w:val="Heading4"/>
                    </w:pPr>
                    <w:r>
                      <w:rPr>
                        <w:lang w:val="hr"/>
                      </w:rPr>
                      <w:t xml:space="preserve">POZADINA </w:t>
                    </w:r>
                  </w:p>
                  <w:p w14:paraId="00264338" w14:textId="77777777" w:rsidR="0059261D" w:rsidRPr="0059261D" w:rsidRDefault="0059261D" w:rsidP="0059261D">
                    <w:pPr>
                      <w:pStyle w:val="Heading4"/>
                    </w:pPr>
                  </w:p>
                  <w:p w14:paraId="56ED6740" w14:textId="77777777" w:rsidR="0059261D" w:rsidRPr="0059261D" w:rsidRDefault="00D95721" w:rsidP="0059261D">
                    <w:pPr>
                      <w:pStyle w:val="Heading3"/>
                    </w:pPr>
                    <w:r>
                      <w:rPr>
                        <w:lang w:val="hr"/>
                      </w:rPr>
                      <w:t>SAFE2EAT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47047" wp14:editId="59842D08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o:spid="_x0000_s2052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fillcolor="#787878" stroked="f" strokeweight="1pt"/>
          </w:pict>
        </mc:Fallback>
      </mc:AlternateContent>
    </w:r>
  </w:p>
  <w:p w14:paraId="7A80E4AD" w14:textId="77777777" w:rsidR="00EA7E45" w:rsidRDefault="00D95721">
    <w:pPr>
      <w:pStyle w:val="Header"/>
    </w:pP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C0728F" wp14:editId="77F7ABF1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6" o:spid="_x0000_s2053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861"/>
    <w:multiLevelType w:val="hybridMultilevel"/>
    <w:tmpl w:val="38D0E816"/>
    <w:lvl w:ilvl="0" w:tplc="2722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E1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8D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8A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C6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25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8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9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89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3A5"/>
    <w:multiLevelType w:val="hybridMultilevel"/>
    <w:tmpl w:val="13783F9E"/>
    <w:lvl w:ilvl="0" w:tplc="214007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39D638F2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12254BA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C9428BCE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EA94E186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6AFA64D0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DA40560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A6048546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64DA8976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41AF13C2"/>
    <w:multiLevelType w:val="hybridMultilevel"/>
    <w:tmpl w:val="38B2888C"/>
    <w:lvl w:ilvl="0" w:tplc="47480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C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4A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EE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86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C8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A1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8E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4F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87BA3"/>
    <w:multiLevelType w:val="multilevel"/>
    <w:tmpl w:val="BA0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76314"/>
    <w:multiLevelType w:val="multilevel"/>
    <w:tmpl w:val="8F5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4B5DEA"/>
    <w:multiLevelType w:val="hybridMultilevel"/>
    <w:tmpl w:val="2CA88D32"/>
    <w:lvl w:ilvl="0" w:tplc="B5B800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3412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223A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08AD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FC5E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58B2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E8FD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921D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2EE8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54A87"/>
    <w:multiLevelType w:val="hybridMultilevel"/>
    <w:tmpl w:val="55CAB824"/>
    <w:lvl w:ilvl="0" w:tplc="F3FA7D8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B2CCF310" w:tentative="1">
      <w:start w:val="1"/>
      <w:numFmt w:val="lowerLetter"/>
      <w:lvlText w:val="%2."/>
      <w:lvlJc w:val="left"/>
      <w:pPr>
        <w:ind w:left="1440" w:hanging="360"/>
      </w:pPr>
    </w:lvl>
    <w:lvl w:ilvl="2" w:tplc="648836C8" w:tentative="1">
      <w:start w:val="1"/>
      <w:numFmt w:val="lowerRoman"/>
      <w:lvlText w:val="%3."/>
      <w:lvlJc w:val="right"/>
      <w:pPr>
        <w:ind w:left="2160" w:hanging="180"/>
      </w:pPr>
    </w:lvl>
    <w:lvl w:ilvl="3" w:tplc="2766C5B0" w:tentative="1">
      <w:start w:val="1"/>
      <w:numFmt w:val="decimal"/>
      <w:lvlText w:val="%4."/>
      <w:lvlJc w:val="left"/>
      <w:pPr>
        <w:ind w:left="2880" w:hanging="360"/>
      </w:pPr>
    </w:lvl>
    <w:lvl w:ilvl="4" w:tplc="90326B0C" w:tentative="1">
      <w:start w:val="1"/>
      <w:numFmt w:val="lowerLetter"/>
      <w:lvlText w:val="%5."/>
      <w:lvlJc w:val="left"/>
      <w:pPr>
        <w:ind w:left="3600" w:hanging="360"/>
      </w:pPr>
    </w:lvl>
    <w:lvl w:ilvl="5" w:tplc="0A06F844" w:tentative="1">
      <w:start w:val="1"/>
      <w:numFmt w:val="lowerRoman"/>
      <w:lvlText w:val="%6."/>
      <w:lvlJc w:val="right"/>
      <w:pPr>
        <w:ind w:left="4320" w:hanging="180"/>
      </w:pPr>
    </w:lvl>
    <w:lvl w:ilvl="6" w:tplc="0A1AC870" w:tentative="1">
      <w:start w:val="1"/>
      <w:numFmt w:val="decimal"/>
      <w:lvlText w:val="%7."/>
      <w:lvlJc w:val="left"/>
      <w:pPr>
        <w:ind w:left="5040" w:hanging="360"/>
      </w:pPr>
    </w:lvl>
    <w:lvl w:ilvl="7" w:tplc="19A06AFA" w:tentative="1">
      <w:start w:val="1"/>
      <w:numFmt w:val="lowerLetter"/>
      <w:lvlText w:val="%8."/>
      <w:lvlJc w:val="left"/>
      <w:pPr>
        <w:ind w:left="5760" w:hanging="360"/>
      </w:pPr>
    </w:lvl>
    <w:lvl w:ilvl="8" w:tplc="54025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07D0"/>
    <w:multiLevelType w:val="multilevel"/>
    <w:tmpl w:val="AD3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B05A8"/>
    <w:multiLevelType w:val="multilevel"/>
    <w:tmpl w:val="367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4143932">
    <w:abstractNumId w:val="1"/>
  </w:num>
  <w:num w:numId="2" w16cid:durableId="954097727">
    <w:abstractNumId w:val="1"/>
  </w:num>
  <w:num w:numId="3" w16cid:durableId="252445939">
    <w:abstractNumId w:val="6"/>
  </w:num>
  <w:num w:numId="4" w16cid:durableId="149907483">
    <w:abstractNumId w:val="1"/>
  </w:num>
  <w:num w:numId="5" w16cid:durableId="1466506730">
    <w:abstractNumId w:val="1"/>
  </w:num>
  <w:num w:numId="6" w16cid:durableId="1391156017">
    <w:abstractNumId w:val="6"/>
  </w:num>
  <w:num w:numId="7" w16cid:durableId="386732903">
    <w:abstractNumId w:val="4"/>
  </w:num>
  <w:num w:numId="8" w16cid:durableId="1683624850">
    <w:abstractNumId w:val="3"/>
  </w:num>
  <w:num w:numId="9" w16cid:durableId="1848130671">
    <w:abstractNumId w:val="8"/>
  </w:num>
  <w:num w:numId="10" w16cid:durableId="1080254079">
    <w:abstractNumId w:val="7"/>
  </w:num>
  <w:num w:numId="11" w16cid:durableId="1112941627">
    <w:abstractNumId w:val="2"/>
  </w:num>
  <w:num w:numId="12" w16cid:durableId="1541699364">
    <w:abstractNumId w:val="0"/>
  </w:num>
  <w:num w:numId="13" w16cid:durableId="55057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100F3"/>
    <w:rsid w:val="00011FEA"/>
    <w:rsid w:val="0002558E"/>
    <w:rsid w:val="0002650E"/>
    <w:rsid w:val="00056D3B"/>
    <w:rsid w:val="0006166D"/>
    <w:rsid w:val="000D09ED"/>
    <w:rsid w:val="000D1D3E"/>
    <w:rsid w:val="000E674D"/>
    <w:rsid w:val="000F09FC"/>
    <w:rsid w:val="000F1197"/>
    <w:rsid w:val="00105A97"/>
    <w:rsid w:val="00120CDF"/>
    <w:rsid w:val="0013355C"/>
    <w:rsid w:val="00141C72"/>
    <w:rsid w:val="00180041"/>
    <w:rsid w:val="001A0E65"/>
    <w:rsid w:val="001F28AD"/>
    <w:rsid w:val="0020128B"/>
    <w:rsid w:val="0021430D"/>
    <w:rsid w:val="00246A65"/>
    <w:rsid w:val="00257415"/>
    <w:rsid w:val="002A40AD"/>
    <w:rsid w:val="002A4DB9"/>
    <w:rsid w:val="002E01EA"/>
    <w:rsid w:val="002F3A5D"/>
    <w:rsid w:val="00306FA4"/>
    <w:rsid w:val="00323A85"/>
    <w:rsid w:val="00351ECF"/>
    <w:rsid w:val="00382076"/>
    <w:rsid w:val="003940BB"/>
    <w:rsid w:val="003B46F5"/>
    <w:rsid w:val="003D678D"/>
    <w:rsid w:val="004033DA"/>
    <w:rsid w:val="0041507F"/>
    <w:rsid w:val="00416D44"/>
    <w:rsid w:val="0042395A"/>
    <w:rsid w:val="00434D6A"/>
    <w:rsid w:val="004A79D0"/>
    <w:rsid w:val="004D4C1F"/>
    <w:rsid w:val="004E3A76"/>
    <w:rsid w:val="00507A72"/>
    <w:rsid w:val="00543BE0"/>
    <w:rsid w:val="0054775D"/>
    <w:rsid w:val="005655C5"/>
    <w:rsid w:val="00586C90"/>
    <w:rsid w:val="0059261D"/>
    <w:rsid w:val="005B3B3E"/>
    <w:rsid w:val="005C2898"/>
    <w:rsid w:val="005D6A58"/>
    <w:rsid w:val="00634CDE"/>
    <w:rsid w:val="006639B4"/>
    <w:rsid w:val="00702B23"/>
    <w:rsid w:val="00715DE1"/>
    <w:rsid w:val="0073258A"/>
    <w:rsid w:val="0075657E"/>
    <w:rsid w:val="00795E02"/>
    <w:rsid w:val="007A3289"/>
    <w:rsid w:val="007A38EE"/>
    <w:rsid w:val="007C5148"/>
    <w:rsid w:val="007D23BE"/>
    <w:rsid w:val="007D526C"/>
    <w:rsid w:val="007F52C0"/>
    <w:rsid w:val="0082532A"/>
    <w:rsid w:val="008A4870"/>
    <w:rsid w:val="008C1913"/>
    <w:rsid w:val="008E67E4"/>
    <w:rsid w:val="008F4835"/>
    <w:rsid w:val="008F5855"/>
    <w:rsid w:val="00902520"/>
    <w:rsid w:val="0094370A"/>
    <w:rsid w:val="00956292"/>
    <w:rsid w:val="00970608"/>
    <w:rsid w:val="009A5CDA"/>
    <w:rsid w:val="009B7DC9"/>
    <w:rsid w:val="009D6DD0"/>
    <w:rsid w:val="00A11232"/>
    <w:rsid w:val="00A1131A"/>
    <w:rsid w:val="00A4388E"/>
    <w:rsid w:val="00A44C8E"/>
    <w:rsid w:val="00A77785"/>
    <w:rsid w:val="00A80FE6"/>
    <w:rsid w:val="00A9632A"/>
    <w:rsid w:val="00AA3A2B"/>
    <w:rsid w:val="00AB7664"/>
    <w:rsid w:val="00AC7A94"/>
    <w:rsid w:val="00AD0505"/>
    <w:rsid w:val="00AF3C84"/>
    <w:rsid w:val="00AF406B"/>
    <w:rsid w:val="00B02ED9"/>
    <w:rsid w:val="00B13571"/>
    <w:rsid w:val="00B301A0"/>
    <w:rsid w:val="00BE07DB"/>
    <w:rsid w:val="00BE13CD"/>
    <w:rsid w:val="00BE1FC4"/>
    <w:rsid w:val="00BF4BC3"/>
    <w:rsid w:val="00C854B7"/>
    <w:rsid w:val="00CD26D0"/>
    <w:rsid w:val="00CE50A2"/>
    <w:rsid w:val="00D00597"/>
    <w:rsid w:val="00D25D69"/>
    <w:rsid w:val="00D4082C"/>
    <w:rsid w:val="00D44BFF"/>
    <w:rsid w:val="00D509BA"/>
    <w:rsid w:val="00D67C5A"/>
    <w:rsid w:val="00D84CE5"/>
    <w:rsid w:val="00D860BB"/>
    <w:rsid w:val="00D95721"/>
    <w:rsid w:val="00DC488F"/>
    <w:rsid w:val="00DC6145"/>
    <w:rsid w:val="00E43099"/>
    <w:rsid w:val="00E46848"/>
    <w:rsid w:val="00E76406"/>
    <w:rsid w:val="00E835D1"/>
    <w:rsid w:val="00E85E74"/>
    <w:rsid w:val="00EA1611"/>
    <w:rsid w:val="00EA7E45"/>
    <w:rsid w:val="00F2317D"/>
    <w:rsid w:val="00F73721"/>
    <w:rsid w:val="00FB1EB5"/>
    <w:rsid w:val="00FB452A"/>
    <w:rsid w:val="00FC63A1"/>
    <w:rsid w:val="00FE4DFC"/>
    <w:rsid w:val="00FF524A"/>
    <w:rsid w:val="01FCFFE9"/>
    <w:rsid w:val="03EEA8C9"/>
    <w:rsid w:val="06CE8C05"/>
    <w:rsid w:val="075A71A3"/>
    <w:rsid w:val="07E1323C"/>
    <w:rsid w:val="082DB185"/>
    <w:rsid w:val="09DF605F"/>
    <w:rsid w:val="0AB0F026"/>
    <w:rsid w:val="0E46BC16"/>
    <w:rsid w:val="127980C6"/>
    <w:rsid w:val="14B1EC12"/>
    <w:rsid w:val="16F19058"/>
    <w:rsid w:val="171C26B5"/>
    <w:rsid w:val="18010A25"/>
    <w:rsid w:val="1805AFA1"/>
    <w:rsid w:val="180C6F37"/>
    <w:rsid w:val="1926F063"/>
    <w:rsid w:val="1B40F9EC"/>
    <w:rsid w:val="224074C1"/>
    <w:rsid w:val="28916A29"/>
    <w:rsid w:val="28D3635F"/>
    <w:rsid w:val="29CCE15B"/>
    <w:rsid w:val="2BD57FFB"/>
    <w:rsid w:val="30F4984B"/>
    <w:rsid w:val="37CC6C5B"/>
    <w:rsid w:val="3B1117E6"/>
    <w:rsid w:val="3BD79457"/>
    <w:rsid w:val="3ECC3847"/>
    <w:rsid w:val="3ED909BA"/>
    <w:rsid w:val="3F99ABC1"/>
    <w:rsid w:val="3FC2F55B"/>
    <w:rsid w:val="454F6CD3"/>
    <w:rsid w:val="49CD1C98"/>
    <w:rsid w:val="4BDB4841"/>
    <w:rsid w:val="4EA85631"/>
    <w:rsid w:val="4FD507E4"/>
    <w:rsid w:val="525A065A"/>
    <w:rsid w:val="5847C269"/>
    <w:rsid w:val="5D29E84F"/>
    <w:rsid w:val="5F748C5A"/>
    <w:rsid w:val="661CED67"/>
    <w:rsid w:val="6DAF314A"/>
    <w:rsid w:val="70D82F23"/>
    <w:rsid w:val="77312CF1"/>
    <w:rsid w:val="777B163A"/>
    <w:rsid w:val="79D53178"/>
    <w:rsid w:val="7B30807F"/>
    <w:rsid w:val="7E8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CB8E2"/>
  <w15:chartTrackingRefBased/>
  <w15:docId w15:val="{7C367873-9353-4486-83AE-3D9121E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C1913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C1913"/>
  </w:style>
  <w:style w:type="character" w:customStyle="1" w:styleId="eop">
    <w:name w:val="eop"/>
    <w:basedOn w:val="DefaultParagraphFont"/>
    <w:rsid w:val="008C1913"/>
  </w:style>
  <w:style w:type="character" w:customStyle="1" w:styleId="scxw95617525">
    <w:name w:val="scxw95617525"/>
    <w:basedOn w:val="DefaultParagraphFont"/>
    <w:rsid w:val="008C19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22294D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4B7"/>
    <w:rPr>
      <w:b/>
      <w:bCs/>
      <w:color w:val="22294D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F3C84"/>
    <w:pPr>
      <w:spacing w:after="0" w:line="240" w:lineRule="auto"/>
    </w:pPr>
    <w:rPr>
      <w:color w:val="22294D"/>
      <w:sz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D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6A"/>
    <w:rPr>
      <w:rFonts w:ascii="Segoe UI" w:hAnsi="Segoe UI" w:cs="Segoe UI"/>
      <w:color w:val="22294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@efsa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.:+39052103614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news/pressconta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Props1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5599F-AC78-4CBE-8108-E981CE3ED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09808-5972-4097-9961-68B01436165A}"/>
</file>

<file path=customXml/itemProps4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24a01684-1a2a-406c-9800-227e6ea0d198"/>
    <ds:schemaRef ds:uri="b46b0888-3a4a-41d6-b186-0947ac4cbdb1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European Food Safety Authority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creator>GARCIA GOMEZ Matilde</dc:creator>
  <cp:lastModifiedBy>Lea Pavelić</cp:lastModifiedBy>
  <cp:revision>3</cp:revision>
  <dcterms:created xsi:type="dcterms:W3CDTF">2025-03-23T15:05:00Z</dcterms:created>
  <dcterms:modified xsi:type="dcterms:W3CDTF">2025-03-24T08:52:00Z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GrammarlyDocumentId">
    <vt:lpwstr>cb1d7fbb02df54f339ead1e7fc366d8e04525f34a81a95d7f721ea15570a80fc</vt:lpwstr>
  </property>
</Properties>
</file>