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70C67" w:rsidR="00861807" w:rsidRDefault="00000000" w14:paraId="76F83C2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hAnsi="Quattrocento Sans" w:eastAsia="Quattrocento Sans" w:cs="Quattrocento Sans"/>
          <w:color w:val="000000"/>
          <w:sz w:val="18"/>
          <w:szCs w:val="18"/>
          <w:lang w:val="pl-PL"/>
        </w:rPr>
      </w:pPr>
      <w:r w:rsidRPr="00A70C67">
        <w:rPr>
          <w:rFonts w:ascii="Calibri" w:hAnsi="Calibri" w:eastAsia="Calibri" w:cs="Calibri"/>
          <w:color w:val="1F4E79"/>
          <w:sz w:val="36"/>
          <w:szCs w:val="36"/>
          <w:lang w:val="pl-PL"/>
        </w:rPr>
        <w:t> </w:t>
      </w:r>
    </w:p>
    <w:p w:rsidRPr="00A70C67" w:rsidR="00861807" w:rsidRDefault="00000000" w14:paraId="2C283E7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hAnsi="Quattrocento Sans" w:eastAsia="Quattrocento Sans" w:cs="Quattrocento Sans"/>
          <w:color w:val="000000"/>
          <w:sz w:val="18"/>
          <w:szCs w:val="18"/>
          <w:lang w:val="pl-PL"/>
        </w:rPr>
      </w:pPr>
      <w:r w:rsidRPr="00A70C67">
        <w:rPr>
          <w:rFonts w:ascii="Calibri" w:hAnsi="Calibri" w:eastAsia="Calibri" w:cs="Calibri"/>
          <w:color w:val="1F4E79"/>
          <w:sz w:val="28"/>
          <w:szCs w:val="28"/>
          <w:lang w:val="pl-PL"/>
        </w:rPr>
        <w:t> </w:t>
      </w:r>
    </w:p>
    <w:p w:rsidRPr="00A70C67" w:rsidR="00861807" w:rsidRDefault="00861807" w14:paraId="1EF16912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b/>
          <w:color w:val="1F4E79"/>
          <w:sz w:val="32"/>
          <w:szCs w:val="32"/>
          <w:lang w:val="pl-PL"/>
        </w:rPr>
      </w:pPr>
    </w:p>
    <w:p w:rsidRPr="00A70C67" w:rsidR="00861807" w:rsidRDefault="00861807" w14:paraId="2E58AB7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b/>
          <w:color w:val="1F4E79"/>
          <w:sz w:val="32"/>
          <w:szCs w:val="32"/>
          <w:lang w:val="pl-PL"/>
        </w:rPr>
      </w:pPr>
    </w:p>
    <w:p w:rsidRPr="00A70C67" w:rsidR="00861807" w:rsidRDefault="00000000" w14:paraId="1AB6922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18"/>
          <w:szCs w:val="18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32"/>
          <w:szCs w:val="32"/>
          <w:lang w:val="pl-PL"/>
        </w:rPr>
        <w:t xml:space="preserve">Kampania Safe2Eat 2025: Budujemy zaufanie konsumentów do bezpieczeństwa żywności w UE </w:t>
      </w:r>
    </w:p>
    <w:p w:rsidRPr="00A70C67" w:rsidR="00861807" w:rsidRDefault="00000000" w14:paraId="6910C1A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18"/>
          <w:szCs w:val="18"/>
          <w:lang w:val="pl-PL"/>
        </w:rPr>
      </w:pPr>
      <w:r w:rsidRPr="00A70C67">
        <w:rPr>
          <w:rFonts w:ascii="Calibri" w:hAnsi="Calibri" w:eastAsia="Calibri" w:cs="Calibri"/>
          <w:color w:val="000000"/>
          <w:sz w:val="24"/>
          <w:szCs w:val="24"/>
          <w:lang w:val="pl-PL"/>
        </w:rPr>
        <w:t> </w:t>
      </w:r>
    </w:p>
    <w:p w:rsidRPr="00A70C67" w:rsidR="00861807" w:rsidRDefault="00000000" w14:paraId="42E2BA7A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b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>We współpracy z partnerami z całej Europy Europejski Urząd ds. Bezpieczeństwa Żywności organizuje kampanię Safe2Eat 2025, która będzie charakteryzowała się większym zasięgiem i jeszcze lepszą komunikacją z odbiorcami. Realizowana już przez pięć lat kampania ma na celu dostarczenie konsumentom przystępnych i opartych na wiedzy naukowej informacji oraz wskazówek dotyczących bezpieczeństwa żywności, aby pomóc im w dokonywaniu świadomych wyborów dotyczących własnego odżywiania. </w:t>
      </w:r>
    </w:p>
    <w:p w:rsidRPr="00A70C67" w:rsidR="00861807" w:rsidRDefault="00000000" w14:paraId="0F18AFB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b/>
          <w:sz w:val="22"/>
          <w:szCs w:val="22"/>
          <w:lang w:val="pl-PL"/>
        </w:rPr>
      </w:pPr>
      <w:r w:rsidRPr="00A70C67">
        <w:rPr>
          <w:rFonts w:ascii="Calibri" w:hAnsi="Calibri" w:eastAsia="Calibri" w:cs="Calibri"/>
          <w:b/>
          <w:sz w:val="22"/>
          <w:szCs w:val="22"/>
          <w:lang w:val="pl-PL"/>
        </w:rPr>
        <w:t> </w:t>
      </w:r>
    </w:p>
    <w:p w:rsidRPr="00A70C67" w:rsidR="00861807" w:rsidP="0B6D2142" w:rsidRDefault="00000000" w14:paraId="411AC232" w14:textId="588B2FF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ind w:right="0"/>
        <w:rPr>
          <w:rFonts w:ascii="Calibri" w:hAnsi="Calibri" w:eastAsia="Calibri" w:cs="Calibri"/>
          <w:sz w:val="24"/>
          <w:szCs w:val="24"/>
          <w:lang w:val="pl-PL"/>
        </w:rPr>
      </w:pPr>
      <w:r w:rsidRPr="0B6D2142" w:rsidR="00000000">
        <w:rPr>
          <w:rFonts w:ascii="Calibri" w:hAnsi="Calibri" w:eastAsia="Calibri" w:cs="Calibri"/>
          <w:b w:val="1"/>
          <w:bCs w:val="1"/>
          <w:sz w:val="24"/>
          <w:szCs w:val="24"/>
          <w:lang w:val="pl-PL"/>
        </w:rPr>
        <w:t xml:space="preserve">Parma, </w:t>
      </w:r>
      <w:r w:rsidRPr="0B6D2142" w:rsidR="35B91CB8">
        <w:rPr>
          <w:rFonts w:ascii="Calibri" w:hAnsi="Calibri" w:eastAsia="Calibri" w:cs="Calibri"/>
          <w:b w:val="1"/>
          <w:bCs w:val="1"/>
          <w:sz w:val="24"/>
          <w:szCs w:val="24"/>
          <w:lang w:val="pl-PL"/>
        </w:rPr>
        <w:t>02.04.</w:t>
      </w:r>
      <w:r w:rsidRPr="0B6D2142" w:rsidR="00000000">
        <w:rPr>
          <w:rFonts w:ascii="Calibri" w:hAnsi="Calibri" w:eastAsia="Calibri" w:cs="Calibri"/>
          <w:b w:val="1"/>
          <w:bCs w:val="1"/>
          <w:sz w:val="24"/>
          <w:szCs w:val="24"/>
          <w:lang w:val="pl-PL"/>
        </w:rPr>
        <w:t>2025</w:t>
      </w:r>
      <w:r w:rsidRPr="0B6D2142" w:rsidR="00000000">
        <w:rPr>
          <w:rFonts w:ascii="Calibri" w:hAnsi="Calibri" w:eastAsia="Calibri" w:cs="Calibri"/>
          <w:sz w:val="24"/>
          <w:szCs w:val="24"/>
          <w:lang w:val="pl-PL"/>
        </w:rPr>
        <w:t xml:space="preserve"> - Po sukcesie zeszłorocznej </w:t>
      </w:r>
      <w:r w:rsidRPr="0B6D2142" w:rsidR="00000000">
        <w:rPr>
          <w:rFonts w:ascii="Calibri" w:hAnsi="Calibri" w:eastAsia="Calibri" w:cs="Calibri"/>
          <w:b w:val="1"/>
          <w:bCs w:val="1"/>
          <w:sz w:val="24"/>
          <w:szCs w:val="24"/>
          <w:lang w:val="pl-PL"/>
        </w:rPr>
        <w:t>kampanii Safe2Eat</w:t>
      </w:r>
      <w:r w:rsidRPr="0B6D2142" w:rsidR="00000000">
        <w:rPr>
          <w:rFonts w:ascii="Calibri" w:hAnsi="Calibri" w:eastAsia="Calibri" w:cs="Calibri"/>
          <w:sz w:val="24"/>
          <w:szCs w:val="24"/>
          <w:lang w:val="pl-PL"/>
        </w:rPr>
        <w:t xml:space="preserve">, Europejski Urząd ds. Bezpieczeństwa Żywności (EFSA) i jego krajowi partnerzy w całej Europie rozpoczynają tegoroczną edycję kampanii, charakteryzującą się jeszcze szerszym zasięgiem i zapewnianiem konsumentom jasnych, opartych na nauce informacji na temat bezpieczeństwa żywności. W tym roku kampania obejmuje </w:t>
      </w:r>
      <w:r w:rsidRPr="0B6D2142" w:rsidR="00000000">
        <w:rPr>
          <w:rFonts w:ascii="Calibri" w:hAnsi="Calibri" w:eastAsia="Calibri" w:cs="Calibri"/>
          <w:b w:val="1"/>
          <w:bCs w:val="1"/>
          <w:sz w:val="24"/>
          <w:szCs w:val="24"/>
          <w:lang w:val="pl-PL"/>
        </w:rPr>
        <w:t>23 kraje</w:t>
      </w:r>
      <w:r w:rsidRPr="0B6D2142" w:rsidR="00000000">
        <w:rPr>
          <w:rFonts w:ascii="Calibri" w:hAnsi="Calibri" w:eastAsia="Calibri" w:cs="Calibri"/>
          <w:sz w:val="24"/>
          <w:szCs w:val="24"/>
          <w:lang w:val="pl-PL"/>
        </w:rPr>
        <w:t>, w porównaniu z 18 w 2024 roku, co stanowi istotny kamień milowy w realizacji jej kluczowego celu, jakim jest pomoc większej liczbie mieszkańców i mieszkanek Europy w dokonywaniu świadomych wyborów żywieniowych.  </w:t>
      </w:r>
    </w:p>
    <w:p w:rsidRPr="00A70C67" w:rsidR="00861807" w:rsidRDefault="00861807" w14:paraId="3A98DE8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</w:p>
    <w:p w:rsidRPr="00A70C67" w:rsidR="00861807" w:rsidRDefault="00000000" w14:paraId="159D4C71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>Wśród państw uczestniczących w kampanii w 2025 roku znalazły się Albania, Austria, Belgia, Bośnia i Hercegowina, Chorwacja, Cypr, Czechy, Estonia, Finlandia, Grecja, Węgry, Irlandia, Włochy, Łotwa, Luksemburg, Czarnogóra, Macedonia Północna, Norwegia, Polska, Rumunia, Słowacja, Hiszpania i Turcja.  </w:t>
      </w:r>
    </w:p>
    <w:p w:rsidRPr="00A70C67" w:rsidR="00861807" w:rsidRDefault="00861807" w14:paraId="4E8A4066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</w:p>
    <w:p w:rsidRPr="00A70C67" w:rsidR="00861807" w:rsidRDefault="00000000" w14:paraId="28D56F7C" w14:textId="77777777">
      <w:pPr>
        <w:pBdr>
          <w:top w:val="nil"/>
          <w:left w:val="nil"/>
          <w:bottom w:val="nil"/>
          <w:right w:val="nil"/>
          <w:between w:val="nil"/>
        </w:pBdr>
        <w:spacing w:after="24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  <w:t>Większy zasięg, zmiana postaw: najważniejsze wnioski z 2024 roku</w:t>
      </w:r>
    </w:p>
    <w:p w:rsidRPr="00A70C67" w:rsidR="00861807" w:rsidRDefault="00000000" w14:paraId="1F22A724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W 2024 roku kampania Safe2Eat odnotowała rekordowy poziom skuteczności. Według badania Ipsos przeprowadzonego w grudniu, </w:t>
      </w: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>twórcom kampanii udało się dotrzeć do ponad 45% docelowych odbiorców w całej Europie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, co stanowi prawdziwy przełom względem 19% odnotowanych w 2023 roku. Dzięki połączeniu komunikatów w mediach społecznościowych, współpracy z </w:t>
      </w:r>
      <w:proofErr w:type="spellStart"/>
      <w:r w:rsidRPr="00A70C67">
        <w:rPr>
          <w:rFonts w:ascii="Calibri" w:hAnsi="Calibri" w:eastAsia="Calibri" w:cs="Calibri"/>
          <w:sz w:val="24"/>
          <w:szCs w:val="24"/>
          <w:lang w:val="pl-PL"/>
        </w:rPr>
        <w:t>influencerami</w:t>
      </w:r>
      <w:proofErr w:type="spellEnd"/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i ukierunkowanych inicjatyw medialnych, kampanii Safe2Eat udało się skutecznie dotrzeć do ponad 50 milionów mieszkańców i mieszkanek Europy, zwracając uwagę na kwestie dotyczące bezpieczeństwa żywności w codziennych wyborach.</w:t>
      </w:r>
    </w:p>
    <w:p w:rsidRPr="00A70C67" w:rsidR="00861807" w:rsidRDefault="00861807" w14:paraId="0F72C14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</w:p>
    <w:p w:rsidRPr="00A70C67" w:rsidR="00861807" w:rsidRDefault="00000000" w14:paraId="406EB42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Kampania wpłynęła również na postawy konsumentów. Wyniki badania wykazały, że osoby, które zetknęły się z kampanią, częściej zwracały </w:t>
      </w: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>uwagę na bezpieczeństwo podczas zakupów żywności.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Ponadto badacze zwrócili uwagę na </w:t>
      </w: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 xml:space="preserve">mniejszy odsetek opinii, według których informacje na temat bezpieczeństwa żywności są zbyt techniczne lub złożone - 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>respondenci twierdzili, że wiedzą więcej na temat zapobiegania zagrożeniom związanym z żywnością.</w:t>
      </w:r>
    </w:p>
    <w:p w:rsidRPr="00A70C67" w:rsidR="00861807" w:rsidRDefault="00000000" w14:paraId="720184A5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color w:val="000000"/>
          <w:sz w:val="24"/>
          <w:szCs w:val="24"/>
          <w:lang w:val="pl-PL"/>
        </w:rPr>
        <w:lastRenderedPageBreak/>
        <w:t> </w:t>
      </w:r>
    </w:p>
    <w:p w:rsidRPr="00A70C67" w:rsidR="00861807" w:rsidRDefault="00000000" w14:paraId="3F4A974A" w14:textId="77777777">
      <w:pPr>
        <w:spacing w:after="160" w:line="259" w:lineRule="auto"/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  <w:t>Co nowego w kampanii w 2025 roku?</w:t>
      </w:r>
    </w:p>
    <w:p w:rsidRPr="00A70C67" w:rsidR="00861807" w:rsidRDefault="00000000" w14:paraId="2B9ADAB6" w14:textId="77777777">
      <w:pPr>
        <w:spacing w:after="160" w:line="259" w:lineRule="auto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>Opierając się na zeszłorocznych osiągnięciach, w 2025 roku organizatorzy kampanii Safe2Eat mają na celu poszerzenie jej oddziaływania poprzez:</w:t>
      </w:r>
    </w:p>
    <w:p w:rsidRPr="00A70C67" w:rsidR="00861807" w:rsidRDefault="00000000" w14:paraId="6EC53003" w14:textId="77777777">
      <w:pPr>
        <w:numPr>
          <w:ilvl w:val="0"/>
          <w:numId w:val="1"/>
        </w:numPr>
        <w:spacing w:after="160" w:line="259" w:lineRule="auto"/>
        <w:ind w:right="0"/>
        <w:jc w:val="left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>Rozszerzenie zasięgu na 23 kraje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>, w tym pięć nowych krajów biorących udział w działaniach, zwiększanie zasięgu działań i zaangażowania w całej Europie.</w:t>
      </w:r>
    </w:p>
    <w:p w:rsidRPr="00A70C67" w:rsidR="00861807" w:rsidRDefault="00000000" w14:paraId="1DCFD043" w14:textId="53FC55C2">
      <w:pPr>
        <w:numPr>
          <w:ilvl w:val="0"/>
          <w:numId w:val="1"/>
        </w:numPr>
        <w:spacing w:after="160" w:line="259" w:lineRule="auto"/>
        <w:ind w:right="0"/>
        <w:jc w:val="left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>Zwrócenie uwagi na kluczowe obawy konsumentów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dotyczące bezpieczeństwa żywności, takie jak rola nauki w zapewnianiu bezpieczeństwa żywności, znaczenie czytelnego oznaczania produktów oraz korzyści płynące z ograniczenia marno</w:t>
      </w:r>
      <w:r w:rsidRPr="00A70C67" w:rsidR="00806D4E">
        <w:rPr>
          <w:rFonts w:ascii="Calibri" w:hAnsi="Calibri" w:eastAsia="Calibri" w:cs="Calibri"/>
          <w:sz w:val="24"/>
          <w:szCs w:val="24"/>
          <w:lang w:val="pl-PL"/>
        </w:rPr>
        <w:t>wania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żywności.</w:t>
      </w:r>
    </w:p>
    <w:p w:rsidRPr="00A70C67" w:rsidR="00861807" w:rsidRDefault="00000000" w14:paraId="487566D7" w14:textId="77777777">
      <w:pPr>
        <w:numPr>
          <w:ilvl w:val="0"/>
          <w:numId w:val="1"/>
        </w:numPr>
        <w:spacing w:after="160" w:line="259" w:lineRule="auto"/>
        <w:ind w:right="0"/>
        <w:jc w:val="left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sz w:val="24"/>
          <w:szCs w:val="24"/>
          <w:lang w:val="pl-PL"/>
        </w:rPr>
        <w:t>Zwiększenie dostępności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informacji na temat bezpieczeństwa żywności dzięki nowym i łatwym do zrozumienia materiałom dostosowanym do różnych grup demograficznych i kontekstów kulturowych.</w:t>
      </w:r>
    </w:p>
    <w:p w:rsidRPr="00A70C67" w:rsidR="00861807" w:rsidRDefault="00000000" w14:paraId="5AF73167" w14:textId="77777777">
      <w:pPr>
        <w:spacing w:after="160" w:line="259" w:lineRule="auto"/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  <w:t>EFSA stawia na sukces w dłuższym ujęciu czasowym</w:t>
      </w:r>
    </w:p>
    <w:p w:rsidRPr="00A70C67" w:rsidR="00861807" w:rsidRDefault="00000000" w14:paraId="582F1A74" w14:textId="006746D3">
      <w:pPr>
        <w:spacing w:after="160" w:line="259" w:lineRule="auto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i/>
          <w:sz w:val="24"/>
          <w:szCs w:val="24"/>
          <w:lang w:val="pl-PL"/>
        </w:rPr>
        <w:t xml:space="preserve">„Ze względu na fakt, że konsumenci w Europie stawiają czoła wielu wyzwaniom, dokonując codziennych wyborów żywnościowych, chcemy wyposażyć ich w wiedzę potrzebną do podejmowania świadomych decyzji” </w:t>
      </w:r>
      <w:r w:rsidRPr="00865668">
        <w:rPr>
          <w:rFonts w:ascii="Calibri" w:hAnsi="Calibri" w:eastAsia="Calibri" w:cs="Calibri"/>
          <w:iCs/>
          <w:sz w:val="24"/>
          <w:szCs w:val="24"/>
          <w:lang w:val="pl-PL"/>
        </w:rPr>
        <w:t>twierdzi</w:t>
      </w:r>
      <w:r w:rsidRPr="00A70C67">
        <w:rPr>
          <w:rFonts w:ascii="Calibri" w:hAnsi="Calibri" w:eastAsia="Calibri" w:cs="Calibri"/>
          <w:i/>
          <w:sz w:val="24"/>
          <w:szCs w:val="24"/>
          <w:lang w:val="pl-PL"/>
        </w:rPr>
        <w:t xml:space="preserve"> 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dyrektor wykonawczy EFSA Bernhard </w:t>
      </w:r>
      <w:proofErr w:type="spellStart"/>
      <w:r w:rsidRPr="00A70C67">
        <w:rPr>
          <w:rFonts w:ascii="Calibri" w:hAnsi="Calibri" w:eastAsia="Calibri" w:cs="Calibri"/>
          <w:sz w:val="24"/>
          <w:szCs w:val="24"/>
          <w:lang w:val="pl-PL"/>
        </w:rPr>
        <w:t>Url</w:t>
      </w:r>
      <w:proofErr w:type="spellEnd"/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. </w:t>
      </w:r>
      <w:r w:rsidRPr="00A70C67">
        <w:rPr>
          <w:rFonts w:ascii="Calibri" w:hAnsi="Calibri" w:eastAsia="Calibri" w:cs="Calibri"/>
          <w:i/>
          <w:sz w:val="24"/>
          <w:szCs w:val="24"/>
          <w:lang w:val="pl-PL"/>
        </w:rPr>
        <w:t>„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Kampania </w:t>
      </w:r>
      <w:r w:rsidRPr="00A70C67">
        <w:rPr>
          <w:rFonts w:ascii="Calibri" w:hAnsi="Calibri" w:eastAsia="Calibri" w:cs="Calibri"/>
          <w:i/>
          <w:sz w:val="24"/>
          <w:szCs w:val="24"/>
          <w:lang w:val="pl-PL"/>
        </w:rPr>
        <w:t>Safe2Eat stanowi pomost łączący naukę o bezpieczeństwie żywności i codzienne decyzje, dostarczając jasnych i praktycznych informacji, które budują zaufanie konsumentów. Dzięki rozszerzeniu zasięgu kampanii na dodatkowe kraje w 2025 roku stawiamy kolejny krok w kierunku zapewnienia wszystkim mieszkańcom i mieszkankom Europy dostępu do wiarygodnych, opartych na nauce wskazówek dotyczących bezpieczeństwa żywności”.</w:t>
      </w:r>
    </w:p>
    <w:p w:rsidRPr="00A70C67" w:rsidR="00861807" w:rsidRDefault="00000000" w14:paraId="2216AC69" w14:textId="77777777">
      <w:pPr>
        <w:spacing w:after="160" w:line="259" w:lineRule="auto"/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  <w:t>Weź udział w kampanii</w:t>
      </w:r>
    </w:p>
    <w:p w:rsidRPr="00A70C67" w:rsidR="00861807" w:rsidRDefault="00000000" w14:paraId="5AE0EA92" w14:textId="09D6C4A6">
      <w:pPr>
        <w:spacing w:after="160" w:line="259" w:lineRule="auto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Przez cały rok w całej Unii Europejskiej oraz w poszczególnych państwach będą realizowane różnorodne działania w ramach kampanii Safe2Eat. Zachęcamy konsumentów do odwiedzenia oficjalnej </w:t>
      </w:r>
      <w:hyperlink r:id="rId8">
        <w:r w:rsidRPr="00A70C67" w:rsidR="00861807">
          <w:rPr>
            <w:rFonts w:ascii="Calibri" w:hAnsi="Calibri" w:eastAsia="Calibri" w:cs="Calibri"/>
            <w:color w:val="0563C1"/>
            <w:sz w:val="24"/>
            <w:szCs w:val="24"/>
            <w:u w:val="single"/>
            <w:lang w:val="pl-PL"/>
          </w:rPr>
          <w:t>strony internetowej kampanii</w:t>
        </w:r>
      </w:hyperlink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, zapoznania się z materiałami edukacyjnymi i obserwowania komunikatów kampanii w mediach społecznościowych, </w:t>
      </w:r>
      <w:r w:rsidR="00865668">
        <w:rPr>
          <w:rFonts w:ascii="Calibri" w:hAnsi="Calibri" w:eastAsia="Calibri" w:cs="Calibri"/>
          <w:sz w:val="24"/>
          <w:szCs w:val="24"/>
          <w:lang w:val="pl-PL"/>
        </w:rPr>
        <w:t>a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w tym celu </w:t>
      </w:r>
      <w:r w:rsidR="00865668">
        <w:rPr>
          <w:rFonts w:ascii="Calibri" w:hAnsi="Calibri" w:eastAsia="Calibri" w:cs="Calibri"/>
          <w:sz w:val="24"/>
          <w:szCs w:val="24"/>
          <w:lang w:val="pl-PL"/>
        </w:rPr>
        <w:t xml:space="preserve">– do korzystania 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>z hasztagu #Safe2EatEU.</w:t>
      </w:r>
    </w:p>
    <w:p w:rsidRPr="00A70C67" w:rsidR="00861807" w:rsidRDefault="00861807" w14:paraId="0193C64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</w:pPr>
    </w:p>
    <w:p w:rsidRPr="00A70C67" w:rsidR="00861807" w:rsidRDefault="00000000" w14:paraId="1D29253F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1F4E79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  <w:t>EFSA – podstawowe informacje</w:t>
      </w:r>
      <w:r w:rsidRPr="00A70C67">
        <w:rPr>
          <w:rFonts w:ascii="Calibri" w:hAnsi="Calibri" w:eastAsia="Calibri" w:cs="Calibri"/>
          <w:color w:val="1F4E79"/>
          <w:sz w:val="24"/>
          <w:szCs w:val="24"/>
          <w:lang w:val="pl-PL"/>
        </w:rPr>
        <w:t> </w:t>
      </w:r>
    </w:p>
    <w:p w:rsidRPr="00A70C67" w:rsidR="00861807" w:rsidRDefault="00861807" w14:paraId="4E86AAD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</w:p>
    <w:p w:rsidRPr="00A70C67" w:rsidR="00861807" w:rsidRDefault="00000000" w14:paraId="1F55E8D8" w14:textId="42259236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Europejski Urząd ds. Bezpieczeństwa Żywności (EFSA) jest agencją Unii Europejskiej utworzoną w 2002 roku. </w:t>
      </w:r>
      <w:r w:rsidR="00A70C67">
        <w:rPr>
          <w:rFonts w:ascii="Calibri" w:hAnsi="Calibri" w:eastAsia="Calibri" w:cs="Calibri"/>
          <w:sz w:val="24"/>
          <w:szCs w:val="24"/>
          <w:lang w:val="pl-PL"/>
        </w:rPr>
        <w:t>Jest on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źródłem bezstronnych i neutralnych informacji naukowych oraz analiz opracowywanych z myślą o podmiotach zarządzających ryzykiem, a także inform</w:t>
      </w:r>
      <w:r w:rsidR="00865668">
        <w:rPr>
          <w:rFonts w:ascii="Calibri" w:hAnsi="Calibri" w:eastAsia="Calibri" w:cs="Calibri"/>
          <w:sz w:val="24"/>
          <w:szCs w:val="24"/>
          <w:lang w:val="pl-PL"/>
        </w:rPr>
        <w:t>uje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o zagrożeniach związanych z łańcuchem żywnościowym.  </w:t>
      </w:r>
    </w:p>
    <w:p w:rsidRPr="00A70C67" w:rsidR="00861807" w:rsidRDefault="00861807" w14:paraId="3DD26EB3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</w:p>
    <w:p w:rsidRPr="00A70C67" w:rsidR="00861807" w:rsidRDefault="00000000" w14:paraId="4CEDA6C3" w14:textId="30A36AA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lastRenderedPageBreak/>
        <w:t>Urząd opracowuje analizy naukowe na potrzeby uchwalanych przepisów i rozporządzeń</w:t>
      </w:r>
      <w:r w:rsidR="00865668">
        <w:rPr>
          <w:rFonts w:ascii="Calibri" w:hAnsi="Calibri" w:eastAsia="Calibri" w:cs="Calibri"/>
          <w:sz w:val="24"/>
          <w:szCs w:val="24"/>
          <w:lang w:val="pl-PL"/>
        </w:rPr>
        <w:t xml:space="preserve">, które mają </w:t>
      </w:r>
      <w:r w:rsidRPr="00A70C67">
        <w:rPr>
          <w:rFonts w:ascii="Calibri" w:hAnsi="Calibri" w:eastAsia="Calibri" w:cs="Calibri"/>
          <w:sz w:val="24"/>
          <w:szCs w:val="24"/>
          <w:lang w:val="pl-PL"/>
        </w:rPr>
        <w:t>na celu ochronę europejskich konsumentów przed zagrożeniami związanymi z żywnością oraz współpracuje z partnerami krajowymi w celu zapewnienia spójności informacji na temat bezpieczeństwa żywności w Unii Europejskiej.</w:t>
      </w:r>
    </w:p>
    <w:p w:rsidRPr="00A70C67" w:rsidR="00861807" w:rsidRDefault="00000000" w14:paraId="54236998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color w:val="000000"/>
          <w:sz w:val="24"/>
          <w:szCs w:val="24"/>
          <w:lang w:val="pl-PL"/>
        </w:rPr>
        <w:t> </w:t>
      </w:r>
    </w:p>
    <w:p w:rsidRPr="00A70C67" w:rsidR="00861807" w:rsidRDefault="00000000" w14:paraId="6D96D57E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1F4E79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b/>
          <w:color w:val="1F4E79"/>
          <w:sz w:val="24"/>
          <w:szCs w:val="24"/>
          <w:lang w:val="pl-PL"/>
        </w:rPr>
        <w:t>Kontakt</w:t>
      </w:r>
      <w:r w:rsidRPr="00A70C67">
        <w:rPr>
          <w:rFonts w:ascii="Calibri" w:hAnsi="Calibri" w:eastAsia="Calibri" w:cs="Calibri"/>
          <w:color w:val="1F4E79"/>
          <w:sz w:val="24"/>
          <w:szCs w:val="24"/>
          <w:lang w:val="pl-PL"/>
        </w:rPr>
        <w:t> </w:t>
      </w:r>
    </w:p>
    <w:p w:rsidRPr="00A70C67" w:rsidR="00861807" w:rsidRDefault="00861807" w14:paraId="4E89247B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hAnsi="Calibri" w:eastAsia="Calibri" w:cs="Calibri"/>
          <w:color w:val="000000"/>
          <w:sz w:val="24"/>
          <w:szCs w:val="24"/>
          <w:lang w:val="pl-PL"/>
        </w:rPr>
      </w:pPr>
    </w:p>
    <w:p w:rsidRPr="00A70C67" w:rsidR="00861807" w:rsidRDefault="00000000" w14:paraId="7E495720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Calibri" w:hAnsi="Calibri" w:eastAsia="Calibri" w:cs="Calibri"/>
          <w:sz w:val="24"/>
          <w:szCs w:val="24"/>
          <w:lang w:val="pl-PL"/>
        </w:rPr>
      </w:pPr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W przypadku pytań na potrzeby publikacji w mediach prosimy o kontakt pod adresem </w:t>
      </w:r>
      <w:hyperlink r:id="rId9">
        <w:r w:rsidRPr="00A70C67" w:rsidR="00861807">
          <w:rPr>
            <w:rFonts w:ascii="Calibri" w:hAnsi="Calibri" w:eastAsia="Calibri" w:cs="Calibri"/>
            <w:color w:val="1155CC"/>
            <w:sz w:val="24"/>
            <w:szCs w:val="24"/>
            <w:highlight w:val="white"/>
            <w:u w:val="single"/>
            <w:lang w:val="pl-PL"/>
          </w:rPr>
          <w:t>Press@efsa.europa.eu</w:t>
        </w:r>
      </w:hyperlink>
      <w:r w:rsidRPr="00A70C67">
        <w:rPr>
          <w:rFonts w:ascii="Calibri" w:hAnsi="Calibri" w:eastAsia="Calibri" w:cs="Calibri"/>
          <w:sz w:val="24"/>
          <w:szCs w:val="24"/>
          <w:lang w:val="pl-PL"/>
        </w:rPr>
        <w:t xml:space="preserve"> lub pod numerem telefonu +39 0521 036 14  </w:t>
      </w:r>
    </w:p>
    <w:p w:rsidRPr="00A70C67" w:rsidR="00861807" w:rsidRDefault="00861807" w14:paraId="5EA05BA9" w14:textId="77777777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Calibri" w:hAnsi="Calibri" w:eastAsia="Calibri" w:cs="Calibri"/>
          <w:color w:val="000000"/>
          <w:sz w:val="18"/>
          <w:szCs w:val="18"/>
          <w:lang w:val="pl-PL"/>
        </w:rPr>
      </w:pPr>
    </w:p>
    <w:p w:rsidRPr="00A70C67" w:rsidR="00861807" w:rsidRDefault="00861807" w14:paraId="48E9581B" w14:textId="77777777">
      <w:pPr>
        <w:rPr>
          <w:rFonts w:ascii="Calibri" w:hAnsi="Calibri" w:eastAsia="Calibri" w:cs="Calibri"/>
          <w:lang w:val="pl-PL"/>
        </w:rPr>
      </w:pPr>
    </w:p>
    <w:sectPr w:rsidRPr="00A70C67" w:rsidR="00861807">
      <w:headerReference w:type="default" r:id="rId10"/>
      <w:footerReference w:type="default" r:id="rId11"/>
      <w:headerReference w:type="first" r:id="rId12"/>
      <w:footerReference w:type="first" r:id="rId13"/>
      <w:pgSz w:w="11906" w:h="16838" w:orient="portrait"/>
      <w:pgMar w:top="2217" w:right="851" w:bottom="1134" w:left="1701" w:header="686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A2BD2" w:rsidRDefault="00DA2BD2" w14:paraId="0EA6C78A" w14:textId="77777777">
      <w:pPr>
        <w:spacing w:after="0"/>
      </w:pPr>
      <w:r>
        <w:separator/>
      </w:r>
    </w:p>
  </w:endnote>
  <w:endnote w:type="continuationSeparator" w:id="0">
    <w:p w:rsidR="00DA2BD2" w:rsidRDefault="00DA2BD2" w14:paraId="08592DE3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98B49ED2-C519-4A6F-ADD6-77B8AEAB0D51}" r:id="rId1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w:fontKey="{CC046B53-6998-4605-9BA5-7459BF8C4CA6}" r:id="rId2"/>
    <w:embedBold w:fontKey="{7260C072-63EA-4A89-AE71-3AF9E9F7AB71}" r:id="rId3"/>
    <w:embedItalic w:fontKey="{9BDF1B53-7C12-4235-BDEA-8F96D2C52AD5}" r:id="rId4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w:fontKey="{E13FB4F8-1BD5-469B-AB5E-8AC3E8CFDE12}" r:id="rId5"/>
    <w:embedItalic w:fontKey="{F487D2C8-44D0-42B4-B514-2B179569FA4F}" r:id="rId6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3958655B-85C8-468C-B878-D5F3DF739AD5}" r:id="rId7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w:fontKey="{75AE25A8-7527-496B-B0BC-7A30905A31A1}" r:id="rId8"/>
    <w:embedBold w:fontKey="{822F3275-711B-4523-B617-08CB44B070DB}" r:id="rId9"/>
    <w:embedItalic w:fontKey="{E0B2DD58-BECE-4805-B868-4ADE5ACA9903}" r:id="rId1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1807" w:rsidRDefault="00861807" w14:paraId="52CD2F33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"/>
      <w:tblW w:w="8505" w:type="dxa"/>
      <w:tblBorders>
        <w:top w:val="single" w:color="BFBFBF" w:sz="4" w:space="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861807" w14:paraId="0F213163" w14:textId="77777777">
      <w:tc>
        <w:tcPr>
          <w:tcW w:w="8505" w:type="dxa"/>
          <w:tcBorders>
            <w:top w:val="single" w:color="BFBFBF" w:sz="4" w:space="0"/>
            <w:left w:val="nil"/>
            <w:bottom w:val="nil"/>
            <w:right w:val="nil"/>
          </w:tcBorders>
          <w:shd w:val="clear" w:color="auto" w:fill="auto"/>
        </w:tcPr>
        <w:p w:rsidR="00861807" w:rsidRDefault="00861807" w14:paraId="2498A5E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:rsidR="00861807" w:rsidRDefault="00861807" w14:paraId="07706BB9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:rsidR="00861807" w:rsidRDefault="00861807" w14:paraId="7EE159F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:rsidR="00861807" w:rsidRDefault="00861807" w14:paraId="2646518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1807" w:rsidRDefault="00861807" w14:paraId="3E58D15B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0"/>
      <w:tblW w:w="8505" w:type="dxa"/>
      <w:tblBorders>
        <w:top w:val="single" w:color="BFBFBF" w:sz="4" w:space="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861807" w14:paraId="575F0CCE" w14:textId="77777777">
      <w:tc>
        <w:tcPr>
          <w:tcW w:w="8505" w:type="dxa"/>
          <w:tcBorders>
            <w:top w:val="single" w:color="BFBFBF" w:sz="4" w:space="0"/>
            <w:left w:val="nil"/>
            <w:bottom w:val="nil"/>
            <w:right w:val="nil"/>
          </w:tcBorders>
          <w:shd w:val="clear" w:color="auto" w:fill="auto"/>
        </w:tcPr>
        <w:p w:rsidR="00861807" w:rsidRDefault="00861807" w14:paraId="70646AB8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:rsidR="00861807" w:rsidRDefault="00861807" w14:paraId="747B0D54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:rsidR="00861807" w:rsidRDefault="00861807" w14:paraId="2FBB4F3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A2BD2" w:rsidRDefault="00DA2BD2" w14:paraId="4163AA1A" w14:textId="77777777">
      <w:pPr>
        <w:spacing w:after="0"/>
      </w:pPr>
      <w:r>
        <w:separator/>
      </w:r>
    </w:p>
  </w:footnote>
  <w:footnote w:type="continuationSeparator" w:id="0">
    <w:p w:rsidR="00DA2BD2" w:rsidRDefault="00DA2BD2" w14:paraId="2B7DDF65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61807" w:rsidRDefault="00000000" w14:paraId="46B749B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  <w:jc w:val="right"/>
    </w:pPr>
    <w: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8AF58C6" wp14:editId="59ED8855">
              <wp:simplePos x="0" y="0"/>
              <wp:positionH relativeFrom="column">
                <wp:posOffset>-1092199</wp:posOffset>
              </wp:positionH>
              <wp:positionV relativeFrom="paragraph">
                <wp:posOffset>-431799</wp:posOffset>
              </wp:positionV>
              <wp:extent cx="7586980" cy="1245201"/>
              <wp:effectExtent l="0" t="0" r="0" b="0"/>
              <wp:wrapNone/>
              <wp:docPr id="140" name="Prostokąt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7273" y="3162162"/>
                        <a:ext cx="7577455" cy="1235676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:rsidR="00861807" w:rsidRDefault="00861807" w14:paraId="25CA8F22" w14:textId="77777777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:rsidR="00861807" w:rsidRDefault="00861807" w14:paraId="66E1D621" w14:textId="77777777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:rsidR="00861807" w:rsidRDefault="00861807" w14:paraId="00E09479" w14:textId="77777777">
                          <w:pPr>
                            <w:spacing w:before="240" w:after="0"/>
                            <w:ind w:right="0"/>
                            <w:textDirection w:val="btLr"/>
                          </w:pPr>
                        </w:p>
                        <w:p w:rsidR="00861807" w:rsidRDefault="00861807" w14:paraId="42AC8953" w14:textId="77777777">
                          <w:pPr>
                            <w:ind w:right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ostokąt 140" style="position:absolute;left:0;text-align:left;margin-left:-86pt;margin-top:-34pt;width:597.4pt;height:98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spid="_x0000_s1026" fillcolor="#787878" stroked="f" w14:anchorId="58AF58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">
              <v:textbox inset="2.53958mm,1.2694mm,2.53958mm,1.2694mm">
                <w:txbxContent>
                  <w:p w:rsidR="00861807" w:rsidRDefault="00861807" w14:paraId="25CA8F22" w14:textId="77777777">
                    <w:pPr>
                      <w:spacing w:after="40"/>
                      <w:ind w:right="0"/>
                      <w:textDirection w:val="btLr"/>
                    </w:pPr>
                  </w:p>
                  <w:p w:rsidR="00861807" w:rsidRDefault="00861807" w14:paraId="66E1D621" w14:textId="77777777">
                    <w:pPr>
                      <w:spacing w:after="40"/>
                      <w:ind w:right="0"/>
                      <w:textDirection w:val="btLr"/>
                    </w:pPr>
                  </w:p>
                  <w:p w:rsidR="00861807" w:rsidRDefault="00861807" w14:paraId="00E09479" w14:textId="77777777">
                    <w:pPr>
                      <w:spacing w:before="240" w:after="0"/>
                      <w:ind w:right="0"/>
                      <w:textDirection w:val="btLr"/>
                    </w:pPr>
                  </w:p>
                  <w:p w:rsidR="00861807" w:rsidRDefault="00861807" w14:paraId="42AC8953" w14:textId="77777777">
                    <w:pPr>
                      <w:ind w:right="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8940E02" wp14:editId="32EA1022">
          <wp:simplePos x="0" y="0"/>
          <wp:positionH relativeFrom="column">
            <wp:posOffset>5159375</wp:posOffset>
          </wp:positionH>
          <wp:positionV relativeFrom="paragraph">
            <wp:posOffset>-192798</wp:posOffset>
          </wp:positionV>
          <wp:extent cx="775992" cy="764746"/>
          <wp:effectExtent l="0" t="0" r="0" b="0"/>
          <wp:wrapNone/>
          <wp:docPr id="1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92" cy="764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879C509" wp14:editId="5288DE8F">
              <wp:simplePos x="0" y="0"/>
              <wp:positionH relativeFrom="column">
                <wp:posOffset>1</wp:posOffset>
              </wp:positionH>
              <wp:positionV relativeFrom="paragraph">
                <wp:posOffset>-38099</wp:posOffset>
              </wp:positionV>
              <wp:extent cx="911046" cy="86365"/>
              <wp:effectExtent l="0" t="0" r="0" b="0"/>
              <wp:wrapNone/>
              <wp:docPr id="138" name="Prostokąt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5240" y="3741580"/>
                        <a:ext cx="901521" cy="76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861807" w:rsidRDefault="00861807" w14:paraId="244E1500" w14:textId="77777777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ostokąt 138" style="position:absolute;left:0;text-align:left;margin-left:0;margin-top:-3pt;width:71.75pt;height: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7" fillcolor="white [3201]" stroked="f" w14:anchorId="5879C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">
              <v:textbox inset="2.53958mm,2.53958mm,2.53958mm,2.53958mm">
                <w:txbxContent>
                  <w:p w:rsidR="00861807" w:rsidRDefault="00861807" w14:paraId="244E1500" w14:textId="77777777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861807" w:rsidRDefault="00000000" w14:paraId="00946620" w14:textId="77777777">
    <w:pPr>
      <w:pStyle w:val="Nagwek4"/>
    </w:pPr>
    <w:r>
      <w:t>KOMUNIKAT PRASOWY</w:t>
    </w:r>
  </w:p>
  <w:p w:rsidR="00861807" w:rsidRDefault="00000000" w14:paraId="581E8F46" w14:textId="77777777">
    <w:pPr>
      <w:pStyle w:val="Nagwek4"/>
    </w:pPr>
    <w:r>
      <w:t xml:space="preserve">SAFE2EAT </w:t>
    </w:r>
  </w:p>
  <w:p w:rsidR="00861807" w:rsidRDefault="00861807" w14:paraId="276B4C5F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861807" w:rsidRDefault="00000000" w14:paraId="5EE4249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CEEA31" wp14:editId="07FB3644">
              <wp:simplePos x="0" y="0"/>
              <wp:positionH relativeFrom="column">
                <wp:posOffset>-1079499</wp:posOffset>
              </wp:positionH>
              <wp:positionV relativeFrom="paragraph">
                <wp:posOffset>-444499</wp:posOffset>
              </wp:positionV>
              <wp:extent cx="7567613" cy="1989525"/>
              <wp:effectExtent l="0" t="0" r="0" b="0"/>
              <wp:wrapNone/>
              <wp:docPr id="137" name="Prostokąt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956" y="2790000"/>
                        <a:ext cx="7558088" cy="1980000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:rsidR="00861807" w:rsidRDefault="00861807" w14:paraId="255C8421" w14:textId="77777777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ostokąt 137" style="position:absolute;left:0;text-align:left;margin-left:-85pt;margin-top:-35pt;width:595.9pt;height:15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8" fillcolor="#787878" stroked="f" w14:anchorId="67CEE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">
              <v:textbox inset="2.53958mm,2.53958mm,2.53958mm,2.53958mm">
                <w:txbxContent>
                  <w:p w:rsidR="00861807" w:rsidRDefault="00861807" w14:paraId="255C8421" w14:textId="77777777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B5D87B9" wp14:editId="5E2CA6D0">
          <wp:simplePos x="0" y="0"/>
          <wp:positionH relativeFrom="column">
            <wp:posOffset>4954270</wp:posOffset>
          </wp:positionH>
          <wp:positionV relativeFrom="paragraph">
            <wp:posOffset>-152578</wp:posOffset>
          </wp:positionV>
          <wp:extent cx="945515" cy="1439545"/>
          <wp:effectExtent l="0" t="0" r="0" b="0"/>
          <wp:wrapNone/>
          <wp:docPr id="1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515" cy="1439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20854E6" wp14:editId="44ADE581">
              <wp:simplePos x="0" y="0"/>
              <wp:positionH relativeFrom="column">
                <wp:posOffset>-88899</wp:posOffset>
              </wp:positionH>
              <wp:positionV relativeFrom="paragraph">
                <wp:posOffset>-12699</wp:posOffset>
              </wp:positionV>
              <wp:extent cx="4537710" cy="1553845"/>
              <wp:effectExtent l="0" t="0" r="0" b="0"/>
              <wp:wrapNone/>
              <wp:docPr id="141" name="Prostokąt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81908" y="3007840"/>
                        <a:ext cx="4528185" cy="154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A70C67" w:rsidR="00861807" w:rsidRDefault="00000000" w14:paraId="3102DA8A" w14:textId="77777777">
                          <w:pPr>
                            <w:spacing w:after="40"/>
                            <w:ind w:right="0"/>
                            <w:textDirection w:val="btLr"/>
                            <w:rPr>
                              <w:lang w:val="pl-PL"/>
                            </w:rPr>
                          </w:pPr>
                          <w:r w:rsidRPr="00A70C67">
                            <w:rPr>
                              <w:rFonts w:ascii="Arial" w:hAnsi="Arial" w:eastAsia="Arial" w:cs="Arial"/>
                              <w:color w:val="FFFFFF"/>
                              <w:sz w:val="24"/>
                              <w:lang w:val="pl-PL"/>
                            </w:rPr>
                            <w:t xml:space="preserve">KOMUNIKAT PRASOWY </w:t>
                          </w:r>
                        </w:p>
                        <w:p w:rsidRPr="00A70C67" w:rsidR="00861807" w:rsidRDefault="00000000" w14:paraId="55869E19" w14:textId="77777777">
                          <w:pPr>
                            <w:ind w:right="0"/>
                            <w:textDirection w:val="btLr"/>
                            <w:rPr>
                              <w:lang w:val="pl-PL"/>
                            </w:rPr>
                          </w:pPr>
                          <w:r w:rsidRPr="00A70C67">
                            <w:rPr>
                              <w:color w:val="FFFFFF"/>
                              <w:sz w:val="24"/>
                              <w:lang w:val="pl-PL"/>
                            </w:rPr>
                            <w:t>Przeznaczony do niezwłocznej publikacji</w:t>
                          </w:r>
                        </w:p>
                        <w:p w:rsidRPr="00A70C67" w:rsidR="00861807" w:rsidRDefault="00861807" w14:paraId="286C073D" w14:textId="77777777">
                          <w:pPr>
                            <w:ind w:right="0"/>
                            <w:textDirection w:val="btLr"/>
                            <w:rPr>
                              <w:lang w:val="pl-PL"/>
                            </w:rPr>
                          </w:pPr>
                        </w:p>
                        <w:p w:rsidR="00861807" w:rsidRDefault="00000000" w14:paraId="535E870D" w14:textId="77777777">
                          <w:pPr>
                            <w:spacing w:before="240" w:after="0"/>
                            <w:ind w:right="0"/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color w:val="FFFFFF"/>
                              <w:sz w:val="32"/>
                            </w:rPr>
                            <w:t>SAFE2EAT</w:t>
                          </w:r>
                        </w:p>
                        <w:p w:rsidR="00861807" w:rsidRDefault="00861807" w14:paraId="6C6FDA08" w14:textId="77777777">
                          <w:pPr>
                            <w:ind w:right="0"/>
                            <w:textDirection w:val="btLr"/>
                          </w:pPr>
                        </w:p>
                        <w:p w:rsidR="00861807" w:rsidRDefault="00861807" w14:paraId="1A0C5CB8" w14:textId="77777777">
                          <w:pPr>
                            <w:ind w:righ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ostokąt 141" style="position:absolute;left:0;text-align:left;margin-left:-7pt;margin-top:-1pt;width:357.3pt;height:1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w14:anchorId="720854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">
              <v:textbox inset="2.53958mm,1.2694mm,2.53958mm,1.2694mm">
                <w:txbxContent>
                  <w:p w:rsidRPr="00A70C67" w:rsidR="00861807" w:rsidRDefault="00000000" w14:paraId="3102DA8A" w14:textId="77777777">
                    <w:pPr>
                      <w:spacing w:after="40"/>
                      <w:ind w:right="0"/>
                      <w:textDirection w:val="btLr"/>
                      <w:rPr>
                        <w:lang w:val="pl-PL"/>
                      </w:rPr>
                    </w:pPr>
                    <w:r w:rsidRPr="00A70C67">
                      <w:rPr>
                        <w:rFonts w:ascii="Arial" w:hAnsi="Arial" w:eastAsia="Arial" w:cs="Arial"/>
                        <w:color w:val="FFFFFF"/>
                        <w:sz w:val="24"/>
                        <w:lang w:val="pl-PL"/>
                      </w:rPr>
                      <w:t xml:space="preserve">KOMUNIKAT PRASOWY </w:t>
                    </w:r>
                  </w:p>
                  <w:p w:rsidRPr="00A70C67" w:rsidR="00861807" w:rsidRDefault="00000000" w14:paraId="55869E19" w14:textId="77777777">
                    <w:pPr>
                      <w:ind w:right="0"/>
                      <w:textDirection w:val="btLr"/>
                      <w:rPr>
                        <w:lang w:val="pl-PL"/>
                      </w:rPr>
                    </w:pPr>
                    <w:r w:rsidRPr="00A70C67">
                      <w:rPr>
                        <w:color w:val="FFFFFF"/>
                        <w:sz w:val="24"/>
                        <w:lang w:val="pl-PL"/>
                      </w:rPr>
                      <w:t>Przeznaczony do niezwłocznej publikacji</w:t>
                    </w:r>
                  </w:p>
                  <w:p w:rsidRPr="00A70C67" w:rsidR="00861807" w:rsidRDefault="00861807" w14:paraId="286C073D" w14:textId="77777777">
                    <w:pPr>
                      <w:ind w:right="0"/>
                      <w:textDirection w:val="btLr"/>
                      <w:rPr>
                        <w:lang w:val="pl-PL"/>
                      </w:rPr>
                    </w:pPr>
                  </w:p>
                  <w:p w:rsidR="00861807" w:rsidRDefault="00000000" w14:paraId="535E870D" w14:textId="77777777">
                    <w:pPr>
                      <w:spacing w:before="240" w:after="0"/>
                      <w:ind w:right="0"/>
                      <w:textDirection w:val="btLr"/>
                    </w:pPr>
                    <w:r>
                      <w:rPr>
                        <w:rFonts w:ascii="Arial" w:hAnsi="Arial" w:eastAsia="Arial" w:cs="Arial"/>
                        <w:color w:val="FFFFFF"/>
                        <w:sz w:val="32"/>
                      </w:rPr>
                      <w:t>SAFE2EAT</w:t>
                    </w:r>
                  </w:p>
                  <w:p w:rsidR="00861807" w:rsidRDefault="00861807" w14:paraId="6C6FDA08" w14:textId="77777777">
                    <w:pPr>
                      <w:ind w:right="0"/>
                      <w:textDirection w:val="btLr"/>
                    </w:pPr>
                  </w:p>
                  <w:p w:rsidR="00861807" w:rsidRDefault="00861807" w14:paraId="1A0C5CB8" w14:textId="77777777">
                    <w:pPr>
                      <w:ind w:right="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E4A59B5" wp14:editId="65605868">
          <wp:simplePos x="0" y="0"/>
          <wp:positionH relativeFrom="column">
            <wp:posOffset>-1080022</wp:posOffset>
          </wp:positionH>
          <wp:positionV relativeFrom="paragraph">
            <wp:posOffset>-226694</wp:posOffset>
          </wp:positionV>
          <wp:extent cx="773561" cy="1547122"/>
          <wp:effectExtent l="0" t="0" r="0" b="0"/>
          <wp:wrapNone/>
          <wp:docPr id="1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61" cy="1547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61807" w:rsidRDefault="00000000" w14:paraId="715D9AE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C2C7DF3" wp14:editId="11E8A9E6">
              <wp:simplePos x="0" y="0"/>
              <wp:positionH relativeFrom="column">
                <wp:posOffset>1</wp:posOffset>
              </wp:positionH>
              <wp:positionV relativeFrom="paragraph">
                <wp:posOffset>368300</wp:posOffset>
              </wp:positionV>
              <wp:extent cx="892752" cy="81525"/>
              <wp:effectExtent l="0" t="0" r="0" b="0"/>
              <wp:wrapNone/>
              <wp:docPr id="139" name="Prostokąt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387" y="3744000"/>
                        <a:ext cx="883227" cy="7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861807" w:rsidRDefault="00861807" w14:paraId="2D4E27FA" w14:textId="77777777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ostokąt 139" style="position:absolute;left:0;text-align:left;margin-left:0;margin-top:29pt;width:70.3pt;height: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30" fillcolor="white [3201]" stroked="f" w14:anchorId="3C2C7D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">
              <v:textbox inset="2.53958mm,2.53958mm,2.53958mm,2.53958mm">
                <w:txbxContent>
                  <w:p w:rsidR="00861807" w:rsidRDefault="00861807" w14:paraId="2D4E27FA" w14:textId="77777777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7F02"/>
    <w:multiLevelType w:val="multilevel"/>
    <w:tmpl w:val="8B62A6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306311F8"/>
    <w:multiLevelType w:val="multilevel"/>
    <w:tmpl w:val="0ACEBC8A"/>
    <w:lvl w:ilvl="0">
      <w:start w:val="1"/>
      <w:numFmt w:val="decimal"/>
      <w:pStyle w:val="listnumgre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para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para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52427899">
    <w:abstractNumId w:val="0"/>
  </w:num>
  <w:num w:numId="2" w16cid:durableId="1340885756">
    <w:abstractNumId w:val="1"/>
  </w:num>
  <w:num w:numId="3" w16cid:durableId="20587001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807"/>
    <w:rsid w:val="00000000"/>
    <w:rsid w:val="005C03CA"/>
    <w:rsid w:val="00806D4E"/>
    <w:rsid w:val="00861807"/>
    <w:rsid w:val="00865668"/>
    <w:rsid w:val="00A70C67"/>
    <w:rsid w:val="00B540B2"/>
    <w:rsid w:val="00DA2BD2"/>
    <w:rsid w:val="00F313C1"/>
    <w:rsid w:val="0B6D2142"/>
    <w:rsid w:val="35B9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0DD997"/>
  <w15:docId w15:val="{C88094FC-E28D-4031-B996-8345D4A8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color w:val="22294D"/>
        <w:sz w:val="19"/>
        <w:szCs w:val="19"/>
        <w:lang w:val="pl" w:eastAsia="pl-PL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5B3B3E"/>
    <w:pPr>
      <w:ind w:right="-1"/>
    </w:pPr>
    <w:rPr>
      <w:lang w:val="en-US"/>
    </w:rPr>
  </w:style>
  <w:style w:type="paragraph" w:styleId="Nagwek1">
    <w:name w:val="heading 1"/>
    <w:aliases w:val="3 - Contact"/>
    <w:basedOn w:val="Normalny"/>
    <w:next w:val="Normalny"/>
    <w:link w:val="Nagwek1Znak"/>
    <w:uiPriority w:val="9"/>
    <w:qFormat/>
    <w:rsid w:val="00120CDF"/>
    <w:pPr>
      <w:spacing w:after="0"/>
      <w:ind w:right="0"/>
      <w:outlineLvl w:val="0"/>
    </w:pPr>
  </w:style>
  <w:style w:type="paragraph" w:styleId="Nagwek2">
    <w:name w:val="heading 2"/>
    <w:aliases w:val="5 - Optional subheadline"/>
    <w:basedOn w:val="Normalny"/>
    <w:next w:val="Normalny"/>
    <w:link w:val="Nagwek2Znak"/>
    <w:uiPriority w:val="9"/>
    <w:unhideWhenUsed/>
    <w:qFormat/>
    <w:rsid w:val="00120CDF"/>
    <w:pPr>
      <w:spacing w:after="360"/>
      <w:ind w:right="0"/>
      <w:jc w:val="right"/>
      <w:outlineLvl w:val="1"/>
    </w:pPr>
    <w:rPr>
      <w:b/>
      <w:bCs/>
      <w:sz w:val="36"/>
      <w:szCs w:val="36"/>
    </w:rPr>
  </w:style>
  <w:style w:type="paragraph" w:styleId="Nagwek3">
    <w:name w:val="heading 3"/>
    <w:aliases w:val="2 - Headline header"/>
    <w:basedOn w:val="Normalny"/>
    <w:next w:val="Normalny"/>
    <w:link w:val="Nagwek3Znak"/>
    <w:uiPriority w:val="9"/>
    <w:unhideWhenUsed/>
    <w:qFormat/>
    <w:rsid w:val="0059261D"/>
    <w:pPr>
      <w:spacing w:before="240" w:after="0"/>
      <w:ind w:right="0"/>
      <w:outlineLvl w:val="2"/>
    </w:pPr>
    <w:rPr>
      <w:color w:val="FFFFFF" w:themeColor="background1"/>
      <w:sz w:val="32"/>
      <w:szCs w:val="32"/>
    </w:rPr>
  </w:style>
  <w:style w:type="paragraph" w:styleId="Nagwek4">
    <w:name w:val="heading 4"/>
    <w:aliases w:val="1 - Date &amp; Press release"/>
    <w:basedOn w:val="Normalny"/>
    <w:next w:val="Normalny"/>
    <w:link w:val="Nagwek4Znak"/>
    <w:uiPriority w:val="9"/>
    <w:unhideWhenUsed/>
    <w:qFormat/>
    <w:rsid w:val="0059261D"/>
    <w:pPr>
      <w:spacing w:after="40"/>
      <w:outlineLvl w:val="3"/>
    </w:pPr>
    <w:rPr>
      <w:color w:val="FFFFFF" w:themeColor="background1"/>
      <w:sz w:val="24"/>
      <w:szCs w:val="36"/>
    </w:rPr>
  </w:style>
  <w:style w:type="paragraph" w:styleId="Nagwek5">
    <w:name w:val="heading 5"/>
    <w:aliases w:val="4 - Headline body"/>
    <w:basedOn w:val="Nagwek1"/>
    <w:next w:val="Normalny"/>
    <w:link w:val="Nagwek5Znak"/>
    <w:uiPriority w:val="9"/>
    <w:semiHidden/>
    <w:unhideWhenUsed/>
    <w:qFormat/>
    <w:rsid w:val="00120CDF"/>
    <w:pPr>
      <w:spacing w:after="120"/>
      <w:jc w:val="right"/>
      <w:outlineLvl w:val="4"/>
    </w:pPr>
    <w:rPr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6 - Position"/>
    <w:basedOn w:val="Nagwek2"/>
    <w:next w:val="Normalny"/>
    <w:link w:val="TytuZnak"/>
    <w:uiPriority w:val="10"/>
    <w:qFormat/>
    <w:rsid w:val="00EA7E45"/>
    <w:rPr>
      <w:b w:val="0"/>
      <w:bCs w:val="0"/>
      <w:i/>
    </w:rPr>
  </w:style>
  <w:style w:type="paragraph" w:styleId="Listparalevel2" w:customStyle="1">
    <w:name w:val="List para level 2"/>
    <w:basedOn w:val="Akapitzlist"/>
    <w:link w:val="Listparalevel2Char"/>
    <w:rsid w:val="00A11232"/>
    <w:pPr>
      <w:numPr>
        <w:ilvl w:val="1"/>
        <w:numId w:val="2"/>
      </w:numPr>
    </w:pPr>
  </w:style>
  <w:style w:type="character" w:styleId="Listparalevel2Char" w:customStyle="1">
    <w:name w:val="List para level 2 Char"/>
    <w:basedOn w:val="AkapitzlistZnak"/>
    <w:link w:val="Listparalevel2"/>
    <w:rsid w:val="00A11232"/>
    <w:rPr>
      <w:noProof/>
      <w:color w:val="787878"/>
      <w:sz w:val="19"/>
      <w:lang w:val="fr-FR"/>
    </w:rPr>
  </w:style>
  <w:style w:type="paragraph" w:styleId="Akapitzlist">
    <w:name w:val="List Paragraph"/>
    <w:basedOn w:val="Normalny"/>
    <w:link w:val="AkapitzlistZnak"/>
    <w:uiPriority w:val="34"/>
    <w:rsid w:val="00A11232"/>
    <w:pPr>
      <w:spacing w:after="0"/>
      <w:contextualSpacing/>
    </w:pPr>
    <w:rPr>
      <w:noProof/>
      <w:lang w:val="fr-FR"/>
    </w:rPr>
  </w:style>
  <w:style w:type="paragraph" w:styleId="Listparalevel3" w:customStyle="1">
    <w:name w:val="List para level 3"/>
    <w:basedOn w:val="Listparalevel2"/>
    <w:link w:val="Listparalevel3Char"/>
    <w:rsid w:val="00A11232"/>
    <w:pPr>
      <w:numPr>
        <w:ilvl w:val="2"/>
      </w:numPr>
    </w:pPr>
  </w:style>
  <w:style w:type="character" w:styleId="Listparalevel3Char" w:customStyle="1">
    <w:name w:val="List para level 3 Char"/>
    <w:basedOn w:val="Listparalevel2Char"/>
    <w:link w:val="Listparalevel3"/>
    <w:rsid w:val="00A11232"/>
    <w:rPr>
      <w:noProof/>
      <w:color w:val="787878"/>
      <w:sz w:val="19"/>
      <w:lang w:val="fr-FR"/>
    </w:rPr>
  </w:style>
  <w:style w:type="paragraph" w:styleId="listnumgreen" w:customStyle="1">
    <w:name w:val="list num green"/>
    <w:basedOn w:val="Akapitzlist"/>
    <w:rsid w:val="00A11232"/>
    <w:pPr>
      <w:numPr>
        <w:numId w:val="3"/>
      </w:numPr>
    </w:pPr>
  </w:style>
  <w:style w:type="paragraph" w:styleId="Contact" w:customStyle="1">
    <w:name w:val="Contact"/>
    <w:basedOn w:val="Normalny"/>
    <w:qFormat/>
    <w:rsid w:val="00A11232"/>
    <w:pPr>
      <w:spacing w:after="0"/>
      <w:ind w:right="-425"/>
    </w:pPr>
  </w:style>
  <w:style w:type="character" w:styleId="Nagwek1Znak" w:customStyle="1">
    <w:name w:val="Nagłówek 1 Znak"/>
    <w:aliases w:val="3 - Contact Znak"/>
    <w:basedOn w:val="Domylnaczcionkaakapitu"/>
    <w:link w:val="Nagwek1"/>
    <w:uiPriority w:val="9"/>
    <w:rsid w:val="00120CDF"/>
    <w:rPr>
      <w:color w:val="22294D"/>
      <w:sz w:val="19"/>
      <w:lang w:val="en-US"/>
    </w:rPr>
  </w:style>
  <w:style w:type="character" w:styleId="Nagwek2Znak" w:customStyle="1">
    <w:name w:val="Nagłówek 2 Znak"/>
    <w:aliases w:val="5 - Optional subheadline Znak"/>
    <w:basedOn w:val="Domylnaczcionkaakapitu"/>
    <w:link w:val="Nagwek2"/>
    <w:uiPriority w:val="9"/>
    <w:rsid w:val="00120CDF"/>
    <w:rPr>
      <w:b/>
      <w:bCs/>
      <w:color w:val="22294D"/>
      <w:sz w:val="36"/>
      <w:szCs w:val="36"/>
      <w:lang w:val="en-US"/>
    </w:rPr>
  </w:style>
  <w:style w:type="character" w:styleId="Nagwek3Znak" w:customStyle="1">
    <w:name w:val="Nagłówek 3 Znak"/>
    <w:aliases w:val="2 - Headline header Znak"/>
    <w:basedOn w:val="Domylnaczcionkaakapitu"/>
    <w:link w:val="Nagwek3"/>
    <w:uiPriority w:val="9"/>
    <w:rsid w:val="0059261D"/>
    <w:rPr>
      <w:color w:val="FFFFFF" w:themeColor="background1"/>
      <w:sz w:val="32"/>
      <w:szCs w:val="32"/>
      <w:lang w:val="en-US"/>
    </w:rPr>
  </w:style>
  <w:style w:type="character" w:styleId="Nagwek4Znak" w:customStyle="1">
    <w:name w:val="Nagłówek 4 Znak"/>
    <w:aliases w:val="1 - Date &amp; Press release Znak"/>
    <w:basedOn w:val="Domylnaczcionkaakapitu"/>
    <w:link w:val="Nagwek4"/>
    <w:uiPriority w:val="9"/>
    <w:rsid w:val="0059261D"/>
    <w:rPr>
      <w:color w:val="FFFFFF" w:themeColor="background1"/>
      <w:sz w:val="24"/>
      <w:szCs w:val="36"/>
      <w:lang w:val="en-US"/>
    </w:rPr>
  </w:style>
  <w:style w:type="character" w:styleId="Nagwek5Znak" w:customStyle="1">
    <w:name w:val="Nagłówek 5 Znak"/>
    <w:aliases w:val="4 - Headline body Znak"/>
    <w:basedOn w:val="Domylnaczcionkaakapitu"/>
    <w:link w:val="Nagwek5"/>
    <w:uiPriority w:val="9"/>
    <w:rsid w:val="00120CDF"/>
    <w:rPr>
      <w:color w:val="22294D"/>
      <w:sz w:val="28"/>
      <w:szCs w:val="28"/>
      <w:lang w:val="en-US"/>
    </w:rPr>
  </w:style>
  <w:style w:type="character" w:styleId="TytuZnak" w:customStyle="1">
    <w:name w:val="Tytuł Znak"/>
    <w:aliases w:val="6 - Position Znak"/>
    <w:basedOn w:val="Domylnaczcionkaakapitu"/>
    <w:link w:val="Tytu"/>
    <w:uiPriority w:val="10"/>
    <w:rsid w:val="00EA7E45"/>
    <w:rPr>
      <w:i/>
      <w:color w:val="22294D"/>
      <w:sz w:val="19"/>
      <w:lang w:val="en-US"/>
    </w:rPr>
  </w:style>
  <w:style w:type="character" w:styleId="AkapitzlistZnak" w:customStyle="1">
    <w:name w:val="Akapit z listą Znak"/>
    <w:basedOn w:val="Domylnaczcionkaakapitu"/>
    <w:link w:val="Akapitzlist"/>
    <w:uiPriority w:val="34"/>
    <w:rsid w:val="00A11232"/>
    <w:rPr>
      <w:noProof/>
      <w:color w:val="787878"/>
      <w:sz w:val="19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styleId="NagwekZnak" w:customStyle="1">
    <w:name w:val="Nagłówek Znak"/>
    <w:basedOn w:val="Domylnaczcionkaakapitu"/>
    <w:link w:val="Nagwek"/>
    <w:uiPriority w:val="99"/>
    <w:rsid w:val="005B3B3E"/>
    <w:rPr>
      <w:color w:val="787878"/>
      <w:sz w:val="19"/>
      <w:lang w:val="nl-NL"/>
    </w:rPr>
  </w:style>
  <w:style w:type="paragraph" w:styleId="Stopka">
    <w:name w:val="footer"/>
    <w:basedOn w:val="Normalny"/>
    <w:link w:val="StopkaZnak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styleId="StopkaZnak" w:customStyle="1">
    <w:name w:val="Stopka Znak"/>
    <w:basedOn w:val="Domylnaczcionkaakapitu"/>
    <w:link w:val="Stopka"/>
    <w:uiPriority w:val="99"/>
    <w:rsid w:val="005B3B3E"/>
    <w:rPr>
      <w:color w:val="787878"/>
      <w:sz w:val="19"/>
      <w:lang w:val="nl-NL"/>
    </w:rPr>
  </w:style>
  <w:style w:type="character" w:styleId="Tekstzastpczy">
    <w:name w:val="Placeholder Text"/>
    <w:basedOn w:val="Domylnaczcionkaakapitu"/>
    <w:uiPriority w:val="99"/>
    <w:semiHidden/>
    <w:rsid w:val="0059261D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59261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46A65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ny"/>
    <w:rsid w:val="00506395"/>
    <w:pPr>
      <w:spacing w:before="100" w:beforeAutospacing="1" w:after="100" w:afterAutospacing="1"/>
      <w:ind w:right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en-GB" w:eastAsia="en-GB"/>
    </w:rPr>
  </w:style>
  <w:style w:type="character" w:styleId="eop" w:customStyle="1">
    <w:name w:val="eop"/>
    <w:basedOn w:val="Domylnaczcionkaakapitu"/>
    <w:rsid w:val="00506395"/>
  </w:style>
  <w:style w:type="character" w:styleId="normaltextrun" w:customStyle="1">
    <w:name w:val="normaltextrun"/>
    <w:basedOn w:val="Domylnaczcionkaakapitu"/>
    <w:rsid w:val="00506395"/>
  </w:style>
  <w:style w:type="character" w:styleId="tabchar" w:customStyle="1">
    <w:name w:val="tabchar"/>
    <w:basedOn w:val="Domylnaczcionkaakapitu"/>
    <w:rsid w:val="00506395"/>
  </w:style>
  <w:style w:type="character" w:styleId="Nierozpoznanawzmianka">
    <w:name w:val="Unresolved Mention"/>
    <w:basedOn w:val="Domylnaczcionkaakapitu"/>
    <w:uiPriority w:val="99"/>
    <w:semiHidden/>
    <w:unhideWhenUsed/>
    <w:rsid w:val="00BC5CD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76DA"/>
    <w:pPr>
      <w:spacing w:after="0"/>
    </w:pPr>
    <w:rPr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D13EB"/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4D13EB"/>
    <w:rPr>
      <w:color w:val="22294D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EB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4D13EB"/>
    <w:rPr>
      <w:b/>
      <w:bCs/>
      <w:color w:val="22294D"/>
      <w:sz w:val="20"/>
      <w:szCs w:val="20"/>
      <w:lang w:val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Standardowy"/>
    <w:pPr>
      <w:spacing w:after="0"/>
    </w:pPr>
    <w:tblPr>
      <w:tblStyleRowBandSize w:val="1"/>
      <w:tblStyleColBandSize w:val="1"/>
    </w:tblPr>
  </w:style>
  <w:style w:type="table" w:styleId="a0" w:customStyle="1">
    <w:basedOn w:val="Standardowy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efsa.europa.eu/en/safe2eat" TargetMode="External" Id="rId8" /><Relationship Type="http://schemas.openxmlformats.org/officeDocument/2006/relationships/footer" Target="footer2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mailto:Press@efsa.europa.eu" TargetMode="Externa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FSA_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L6NewP6TXSv5Jh4oGtG4a46Z/Q==">CgMxLjA4AHIhMUFwZnBWT213UkZYc3kxMG1wM2pQRWRlVU5PcUhzd3I5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2" ma:contentTypeDescription="Create a new document." ma:contentTypeScope="" ma:versionID="ad26267f8a9e48532fbf8768a1d01997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96e1cfa302896c7604efa106943223a2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A3D93D-6922-440E-BFAE-9E01D31323C5}"/>
</file>

<file path=customXml/itemProps3.xml><?xml version="1.0" encoding="utf-8"?>
<ds:datastoreItem xmlns:ds="http://schemas.openxmlformats.org/officeDocument/2006/customXml" ds:itemID="{A0BF3D80-3109-40C5-AA36-2DCF3FA7A486}"/>
</file>

<file path=customXml/itemProps4.xml><?xml version="1.0" encoding="utf-8"?>
<ds:datastoreItem xmlns:ds="http://schemas.openxmlformats.org/officeDocument/2006/customXml" ds:itemID="{9A801411-62D9-453C-8BCF-E3838F48507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GARCIA GOMEZ Matilde</dc:creator>
  <lastModifiedBy>Barabucci, Claudia</lastModifiedBy>
  <revision>3</revision>
  <dcterms:created xsi:type="dcterms:W3CDTF">2025-03-21T11:54:00.0000000Z</dcterms:created>
  <dcterms:modified xsi:type="dcterms:W3CDTF">2025-03-27T08:23:06.6388358Z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0x01010006356EEDEAE7F14A88356AAC92EB024A</vt:lpwstr>
  </property>
  <property fmtid="{D5CDD505-2E9C-101B-9397-08002B2CF9AE}" pid="4" name="MediaServiceImageTags">
    <vt:lpwstr/>
  </property>
  <property fmtid="{D5CDD505-2E9C-101B-9397-08002B2CF9AE}" pid="5" name="Order">
    <vt:r8>4200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GrammarlyDocumentId">
    <vt:lpwstr>f6e7eef636bef372f963d03923024041a70262cc37c461be0fd9d501dc9c6315</vt:lpwstr>
  </property>
</Properties>
</file>