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0706" w:rsidR="00506395" w:rsidP="00506395" w:rsidRDefault="005E5EAA" w14:paraId="3BCD6BC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E79"/>
          <w:sz w:val="36"/>
          <w:szCs w:val="36"/>
          <w:lang w:val="de-DE"/>
        </w:rPr>
        <w:t> </w:t>
      </w:r>
    </w:p>
    <w:p w:rsidRPr="00680706" w:rsidR="00506395" w:rsidP="00506395" w:rsidRDefault="005E5EAA" w14:paraId="52ADC96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E79"/>
          <w:sz w:val="28"/>
          <w:szCs w:val="28"/>
          <w:lang w:val="de-DE"/>
        </w:rPr>
        <w:t> </w:t>
      </w:r>
    </w:p>
    <w:p w:rsidRPr="00680706" w:rsidR="00506395" w:rsidP="00506395" w:rsidRDefault="00506395" w14:paraId="701543A5"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Pr="00680706" w:rsidR="00506395" w:rsidP="00506395" w:rsidRDefault="00506395" w14:paraId="7AD1041A"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Pr="00680706" w:rsidR="00506395" w:rsidP="051B6C9D" w:rsidRDefault="005E5EAA" w14:paraId="3F9760B1" w14:textId="77777777">
      <w:pPr>
        <w:pStyle w:val="paragraph"/>
        <w:spacing w:before="0" w:beforeAutospacing="0" w:after="0" w:afterAutospacing="0"/>
        <w:jc w:val="both"/>
        <w:textAlignment w:val="baseline"/>
        <w:rPr>
          <w:rFonts w:ascii="Calibri" w:hAnsi="Calibri" w:eastAsia="Calibri" w:cs="Calibri"/>
          <w:sz w:val="18"/>
          <w:szCs w:val="18"/>
        </w:rPr>
      </w:pPr>
      <w:r>
        <w:rPr>
          <w:rStyle w:val="normaltextrun"/>
          <w:rFonts w:ascii="Calibri" w:hAnsi="Calibri" w:eastAsia="Calibri" w:cs="Calibri"/>
          <w:b/>
          <w:bCs/>
          <w:color w:val="1F4E79" w:themeColor="accent5" w:themeShade="80"/>
          <w:sz w:val="32"/>
          <w:szCs w:val="32"/>
          <w:lang w:val="de-DE"/>
        </w:rPr>
        <w:t xml:space="preserve">Die Kampagne „Safe2Eat“ 2025: Das Vertrauen der Verbraucherinnen und Verbraucher in Lebensmittelsicherheit stärken </w:t>
      </w:r>
    </w:p>
    <w:p w:rsidRPr="00680706" w:rsidR="00506395" w:rsidP="051B6C9D" w:rsidRDefault="005E5EAA" w14:paraId="2D653AE5" w14:textId="77777777">
      <w:pPr>
        <w:pStyle w:val="paragraph"/>
        <w:spacing w:before="0" w:beforeAutospacing="0" w:after="0" w:afterAutospacing="0"/>
        <w:jc w:val="both"/>
        <w:textAlignment w:val="baseline"/>
        <w:rPr>
          <w:rFonts w:ascii="Calibri" w:hAnsi="Calibri" w:eastAsia="Calibri" w:cs="Calibri"/>
          <w:sz w:val="18"/>
          <w:szCs w:val="18"/>
        </w:rPr>
      </w:pPr>
      <w:r>
        <w:rPr>
          <w:rStyle w:val="eop"/>
          <w:rFonts w:ascii="Calibri" w:hAnsi="Calibri" w:eastAsia="Calibri" w:cs="Calibri"/>
          <w:lang w:val="de-DE"/>
        </w:rPr>
        <w:t> </w:t>
      </w:r>
    </w:p>
    <w:p w:rsidRPr="00680706" w:rsidR="00506395" w:rsidP="57EDEF5D" w:rsidRDefault="005E5EAA" w14:paraId="1F913FCE" w14:textId="77777777">
      <w:pPr>
        <w:pStyle w:val="paragraph"/>
        <w:spacing w:before="0" w:beforeAutospacing="0" w:after="0" w:afterAutospacing="0"/>
        <w:jc w:val="both"/>
        <w:textAlignment w:val="baseline"/>
        <w:rPr>
          <w:rFonts w:ascii="Calibri" w:hAnsi="Calibri" w:eastAsia="Calibri" w:cs="Calibri"/>
          <w:b/>
          <w:bCs/>
          <w:color w:val="22294D"/>
        </w:rPr>
      </w:pPr>
      <w:r>
        <w:rPr>
          <w:rFonts w:ascii="Calibri" w:hAnsi="Calibri" w:eastAsia="Calibri" w:cs="Calibri"/>
          <w:b/>
          <w:bCs/>
          <w:color w:val="22294D"/>
          <w:lang w:val="de-DE"/>
        </w:rPr>
        <w:t>Die EFSA und ihre Partner in Europa melden sich mit Safe2Eat 2025 zurück und weiten dieses Jahr die Reichweite aus und vertiefen die Einbindung der Bürgerinnen und Bürger. In dieser fünften Ausgabe sollen Verbraucherinnen und Verbraucher verständliche, wissenschaftlich fundierte Fakten und Tipps zu Lebensmittelsicherheit erhalten, damit sie informierte Entscheidungen über Lebensmittel treffen können. </w:t>
      </w:r>
    </w:p>
    <w:p w:rsidRPr="00680706" w:rsidR="00506395" w:rsidP="051B6C9D" w:rsidRDefault="005E5EAA" w14:paraId="224988CC" w14:textId="77777777">
      <w:pPr>
        <w:pStyle w:val="paragraph"/>
        <w:spacing w:before="0" w:beforeAutospacing="0" w:after="0" w:afterAutospacing="0"/>
        <w:jc w:val="both"/>
        <w:textAlignment w:val="baseline"/>
        <w:rPr>
          <w:rFonts w:ascii="Calibri" w:hAnsi="Calibri" w:eastAsia="Calibri" w:cs="Calibri"/>
          <w:b/>
          <w:bCs/>
          <w:color w:val="22294D"/>
          <w:sz w:val="22"/>
          <w:szCs w:val="22"/>
        </w:rPr>
      </w:pPr>
      <w:r>
        <w:rPr>
          <w:rFonts w:ascii="Calibri" w:hAnsi="Calibri" w:eastAsia="Calibri" w:cs="Calibri"/>
          <w:b/>
          <w:bCs/>
          <w:color w:val="22294D"/>
          <w:sz w:val="22"/>
          <w:szCs w:val="22"/>
          <w:lang w:val="de-DE"/>
        </w:rPr>
        <w:t> </w:t>
      </w:r>
    </w:p>
    <w:p w:rsidRPr="00680706" w:rsidR="00506395" w:rsidP="3A9E7540" w:rsidRDefault="005E5EAA" w14:paraId="7A11AE1B" w14:textId="5A5AC433">
      <w:pPr>
        <w:pStyle w:val="paragraph"/>
        <w:spacing w:before="0" w:beforeAutospacing="off" w:after="0" w:afterAutospacing="off"/>
        <w:jc w:val="both"/>
        <w:textAlignment w:val="baseline"/>
        <w:rPr>
          <w:rFonts w:ascii="Calibri" w:hAnsi="Calibri" w:eastAsia="Calibri" w:cs="Calibri"/>
          <w:color w:val="22294D"/>
        </w:rPr>
      </w:pPr>
      <w:r w:rsidRPr="3A9E7540" w:rsidR="005E5EAA">
        <w:rPr>
          <w:rFonts w:ascii="Calibri" w:hAnsi="Calibri" w:eastAsia="Calibri" w:cs="Calibri"/>
          <w:b w:val="1"/>
          <w:bCs w:val="1"/>
          <w:color w:val="22294D"/>
          <w:lang w:val="de-DE"/>
        </w:rPr>
        <w:t>Parma</w:t>
      </w:r>
      <w:r w:rsidRPr="3A9E7540" w:rsidR="005E5EAA">
        <w:rPr>
          <w:rFonts w:ascii="Calibri" w:hAnsi="Calibri" w:eastAsia="Calibri" w:cs="Calibri"/>
          <w:color w:val="22294D"/>
          <w:lang w:val="de-DE"/>
        </w:rPr>
        <w:t xml:space="preserve"> – Aufbauend auf dem anhaltenden Erfolg der </w:t>
      </w:r>
      <w:r w:rsidRPr="3A9E7540" w:rsidR="005E5EAA">
        <w:rPr>
          <w:rFonts w:ascii="Calibri" w:hAnsi="Calibri" w:eastAsia="Calibri" w:cs="Calibri"/>
          <w:b w:val="1"/>
          <w:bCs w:val="1"/>
          <w:color w:val="22294D"/>
          <w:lang w:val="de-DE"/>
        </w:rPr>
        <w:t>Kampagne „Safe2Eat“</w:t>
      </w:r>
      <w:r w:rsidRPr="3A9E7540" w:rsidR="005E5EAA">
        <w:rPr>
          <w:rFonts w:ascii="Calibri" w:hAnsi="Calibri" w:eastAsia="Calibri" w:cs="Calibri"/>
          <w:color w:val="22294D"/>
          <w:lang w:val="de-DE"/>
        </w:rPr>
        <w:t xml:space="preserve"> im letzten Jahr haben die Europäische Behörde für Lebensmittelsicherheit (EFSA) und ihre Partner in ganz Europa die Ausgabe für 2025 mit mehr Reichweite und dem fortwährenden Einsatz gestartet, Verbraucherinnen und Verbrauchern verständliche, wissenschaftlich fundierte Informationen zu Lebensmittelsicherheit zu bieten. Dieses Jahr nehmen </w:t>
      </w:r>
      <w:r w:rsidRPr="3A9E7540" w:rsidR="005E5EAA">
        <w:rPr>
          <w:rFonts w:ascii="Calibri" w:hAnsi="Calibri" w:eastAsia="Calibri" w:cs="Calibri"/>
          <w:b w:val="1"/>
          <w:bCs w:val="1"/>
          <w:color w:val="22294D"/>
          <w:lang w:val="de-DE"/>
        </w:rPr>
        <w:t>23 Länder</w:t>
      </w:r>
      <w:r w:rsidRPr="3A9E7540" w:rsidR="005E5EAA">
        <w:rPr>
          <w:rFonts w:ascii="Calibri" w:hAnsi="Calibri" w:eastAsia="Calibri" w:cs="Calibri"/>
          <w:color w:val="22294D"/>
          <w:lang w:val="de-DE"/>
        </w:rPr>
        <w:t xml:space="preserve"> (2024 waren es 18) an der Kampagne teil. Das ist ein bedeutender Meilenstein für die Mission, mehr europäischen Verbrauchenden Zuversicht bei der Lebensmittelauswahl zu vermitteln.  </w:t>
      </w:r>
    </w:p>
    <w:p w:rsidRPr="00680706" w:rsidR="00506395" w:rsidP="051B6C9D" w:rsidRDefault="00506395" w14:paraId="13514443"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2FB47AF5" w14:textId="77777777">
      <w:pPr>
        <w:pStyle w:val="paragraph"/>
        <w:spacing w:before="0" w:beforeAutospacing="0" w:after="0" w:afterAutospacing="0"/>
        <w:jc w:val="both"/>
        <w:rPr>
          <w:rFonts w:ascii="Calibri" w:hAnsi="Calibri" w:eastAsia="Calibri" w:cs="Calibri"/>
          <w:color w:val="22294D"/>
        </w:rPr>
      </w:pPr>
      <w:r>
        <w:rPr>
          <w:rFonts w:ascii="Calibri" w:hAnsi="Calibri" w:eastAsia="Calibri" w:cs="Calibri"/>
          <w:color w:val="22294D"/>
          <w:lang w:val="de-DE"/>
        </w:rPr>
        <w:t>Zu den teilnehmenden Ländern zählen 2025 Albanien, Belgien, Bosnien und Herzegowina, Estland, Finnland, Griechenland, Irland, Italien, Kroatien, Lettland, Luxemburg, Montenegro, Nordmazedonien, Norwegen, Österreich, Polen, Rumänien, die Slowakei, Spanien, die Tschechische Republik, die Türkei und Zypern.  </w:t>
      </w:r>
    </w:p>
    <w:p w:rsidRPr="00680706" w:rsidR="00506395" w:rsidP="051B6C9D" w:rsidRDefault="00506395" w14:paraId="39DDE0D2"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1006ADA3" w14:textId="77777777">
      <w:pPr>
        <w:pStyle w:val="paragraph"/>
        <w:spacing w:before="0" w:beforeAutospacing="0" w:after="240" w:afterAutospacing="0"/>
        <w:jc w:val="both"/>
        <w:textAlignment w:val="baseline"/>
        <w:rPr>
          <w:rFonts w:ascii="Calibri" w:hAnsi="Calibri" w:eastAsia="Calibri" w:cs="Calibri"/>
        </w:rPr>
      </w:pPr>
      <w:r>
        <w:rPr>
          <w:rStyle w:val="normaltextrun"/>
          <w:rFonts w:ascii="Calibri" w:hAnsi="Calibri" w:eastAsia="Calibri" w:cs="Calibri"/>
          <w:b/>
          <w:bCs/>
          <w:color w:val="1F4E79" w:themeColor="accent5" w:themeShade="80"/>
          <w:lang w:val="de-DE"/>
        </w:rPr>
        <w:t>Mehr erreichen, Einstellungen ändern: Höhepunkte aus dem Jahr 2024</w:t>
      </w:r>
    </w:p>
    <w:p w:rsidRPr="00680706" w:rsidR="00BC5CD7" w:rsidP="7260B8A8" w:rsidRDefault="005E5EAA" w14:paraId="6B3FF56B" w14:textId="77777777">
      <w:pPr>
        <w:pStyle w:val="paragraph"/>
        <w:spacing w:before="0" w:beforeAutospacing="0" w:after="0" w:afterAutospacing="0"/>
        <w:jc w:val="both"/>
        <w:textAlignment w:val="baseline"/>
        <w:rPr>
          <w:rFonts w:ascii="Calibri" w:hAnsi="Calibri" w:eastAsia="Calibri" w:cs="Calibri"/>
        </w:rPr>
      </w:pPr>
      <w:r>
        <w:rPr>
          <w:rFonts w:ascii="Calibri" w:hAnsi="Calibri" w:eastAsia="Calibri" w:cs="Calibri"/>
          <w:color w:val="22294D"/>
          <w:lang w:val="de-DE"/>
        </w:rPr>
        <w:t xml:space="preserve">Die Wirkung von Safe2Eat im Jahr 2024 war rekordverdächtig. Eine Untersuchung von IPSOS aus dem Dezember ergab, dass </w:t>
      </w:r>
      <w:r>
        <w:rPr>
          <w:rFonts w:ascii="Calibri" w:hAnsi="Calibri" w:eastAsia="Calibri" w:cs="Calibri"/>
          <w:b/>
          <w:bCs/>
          <w:color w:val="22294D"/>
          <w:lang w:val="de-DE"/>
        </w:rPr>
        <w:t>mit der Kampagne mehr als 45 % der Zielgruppe in ganz Europa erreicht wurden</w:t>
      </w:r>
      <w:r>
        <w:rPr>
          <w:rFonts w:ascii="Calibri" w:hAnsi="Calibri" w:eastAsia="Calibri" w:cs="Calibri"/>
          <w:color w:val="22294D"/>
          <w:lang w:val="de-DE"/>
        </w:rPr>
        <w:t>, das ist ein deutlicher Anstieg im Vergleich zu den 19 % von 2023. Über eine Mischung aus Beiträgen in sozialen Medien, Partnerschaften mit Influencern und gezielten Medieninitiativen haben sich mehr als 50 Millionen Menschen in Europa mit Safe2Eat auseinandergesetzt. So konnte die Bedeutung von Lebensmittelsicherheit für den Alltag hervorgehoben werden.</w:t>
      </w:r>
    </w:p>
    <w:p w:rsidRPr="00680706" w:rsidR="00BC5CD7" w:rsidP="051B6C9D" w:rsidRDefault="00BC5CD7" w14:paraId="0FB6F459"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78C8B227" w14:textId="77777777">
      <w:pPr>
        <w:pStyle w:val="paragraph"/>
        <w:spacing w:before="0" w:beforeAutospacing="0" w:after="0" w:afterAutospacing="0"/>
        <w:jc w:val="both"/>
        <w:textAlignment w:val="baseline"/>
        <w:rPr>
          <w:rFonts w:ascii="Calibri" w:hAnsi="Calibri" w:eastAsia="Calibri" w:cs="Calibri"/>
        </w:rPr>
      </w:pPr>
      <w:r>
        <w:rPr>
          <w:rFonts w:ascii="Calibri" w:hAnsi="Calibri" w:eastAsia="Calibri" w:cs="Calibri"/>
          <w:color w:val="22294D"/>
          <w:lang w:val="de-DE"/>
        </w:rPr>
        <w:t xml:space="preserve">Die Kampagne hat zudem die Verbrauchereinstellungen beeinflusst. Laut der Untersuchung achten die Menschen, die die Kampagne kennen, </w:t>
      </w:r>
      <w:r>
        <w:rPr>
          <w:rFonts w:ascii="Calibri" w:hAnsi="Calibri" w:eastAsia="Calibri" w:cs="Calibri"/>
          <w:b/>
          <w:bCs/>
          <w:color w:val="22294D"/>
          <w:lang w:val="de-DE"/>
        </w:rPr>
        <w:t>beim Einkauf eher auf die Lebensmittelsicherheit.</w:t>
      </w:r>
      <w:r>
        <w:rPr>
          <w:rFonts w:ascii="Calibri" w:hAnsi="Calibri" w:eastAsia="Calibri" w:cs="Calibri"/>
          <w:color w:val="22294D"/>
          <w:lang w:val="de-DE"/>
        </w:rPr>
        <w:t xml:space="preserve"> Außerdem ist die Einstellung, </w:t>
      </w:r>
      <w:r>
        <w:rPr>
          <w:rFonts w:ascii="Calibri" w:hAnsi="Calibri" w:eastAsia="Calibri" w:cs="Calibri"/>
          <w:b/>
          <w:bCs/>
          <w:color w:val="22294D"/>
          <w:lang w:val="de-DE"/>
        </w:rPr>
        <w:t>dass Informationen zur Lebensmittelsicherheit übermäßig technisch und komplex ist</w:t>
      </w:r>
      <w:r>
        <w:rPr>
          <w:rFonts w:ascii="Calibri" w:hAnsi="Calibri" w:eastAsia="Calibri" w:cs="Calibri"/>
          <w:color w:val="22294D"/>
          <w:lang w:val="de-DE"/>
        </w:rPr>
        <w:t>, deutlich zurückgegangen. Die Befragten geben an, mehr über die Vermeidung von Lebensmittelrisiken zu wissen.</w:t>
      </w:r>
    </w:p>
    <w:p w:rsidRPr="00680706" w:rsidR="00506395" w:rsidP="051B6C9D" w:rsidRDefault="005E5EAA" w14:paraId="4667685F" w14:textId="77777777">
      <w:pPr>
        <w:pStyle w:val="paragraph"/>
        <w:spacing w:before="0" w:beforeAutospacing="0" w:after="0" w:afterAutospacing="0"/>
        <w:jc w:val="both"/>
        <w:textAlignment w:val="baseline"/>
        <w:rPr>
          <w:rFonts w:ascii="Calibri" w:hAnsi="Calibri" w:eastAsia="Calibri" w:cs="Calibri"/>
        </w:rPr>
      </w:pPr>
      <w:r>
        <w:rPr>
          <w:rStyle w:val="eop"/>
          <w:rFonts w:ascii="Calibri" w:hAnsi="Calibri" w:eastAsia="Calibri" w:cs="Calibri"/>
          <w:lang w:val="de-DE"/>
        </w:rPr>
        <w:t> </w:t>
      </w:r>
    </w:p>
    <w:p w:rsidRPr="00176062" w:rsidR="00BC5CD7" w:rsidP="051B6C9D" w:rsidRDefault="005E5EAA" w14:paraId="081BD510" w14:textId="77777777">
      <w:pPr>
        <w:spacing w:after="160" w:line="259" w:lineRule="auto"/>
        <w:rPr>
          <w:rStyle w:val="normaltextrun"/>
          <w:rFonts w:ascii="Calibri" w:hAnsi="Calibri" w:eastAsia="Calibri" w:cs="Calibri"/>
          <w:b/>
          <w:bCs/>
          <w:color w:val="1F4E79"/>
          <w:sz w:val="24"/>
          <w:szCs w:val="24"/>
        </w:rPr>
      </w:pPr>
      <w:r>
        <w:rPr>
          <w:rStyle w:val="normaltextrun"/>
          <w:rFonts w:ascii="Calibri" w:hAnsi="Calibri" w:eastAsia="Calibri" w:cs="Calibri"/>
          <w:b/>
          <w:bCs/>
          <w:color w:val="1F4E79" w:themeColor="accent5" w:themeShade="80"/>
          <w:sz w:val="24"/>
          <w:szCs w:val="24"/>
          <w:lang w:val="de-DE"/>
        </w:rPr>
        <w:t>Was ändert sich 2025?</w:t>
      </w:r>
    </w:p>
    <w:p w:rsidRPr="00176062" w:rsidR="00BC5CD7" w:rsidP="051B6C9D" w:rsidRDefault="005E5EAA" w14:paraId="2EC98468" w14:textId="77777777">
      <w:pPr>
        <w:spacing w:after="160" w:line="259" w:lineRule="auto"/>
        <w:rPr>
          <w:rFonts w:ascii="Calibri" w:hAnsi="Calibri" w:eastAsia="Calibri" w:cs="Calibri"/>
          <w:sz w:val="24"/>
          <w:szCs w:val="24"/>
        </w:rPr>
      </w:pPr>
      <w:r>
        <w:rPr>
          <w:rFonts w:ascii="Calibri" w:hAnsi="Calibri" w:eastAsia="Calibri" w:cs="Calibri"/>
          <w:sz w:val="24"/>
          <w:szCs w:val="24"/>
          <w:lang w:val="de-DE"/>
        </w:rPr>
        <w:lastRenderedPageBreak/>
        <w:t>Aufbauend auf dem Erfolg des letzten Jahres wird die Wirkung der Kampagne „Safe2Eat“ 2025 vertieft durch:</w:t>
      </w:r>
    </w:p>
    <w:p w:rsidRPr="00176062" w:rsidR="00BC5CD7" w:rsidP="051B6C9D" w:rsidRDefault="005E5EAA" w14:paraId="03E9491A" w14:textId="77777777">
      <w:pPr>
        <w:numPr>
          <w:ilvl w:val="0"/>
          <w:numId w:val="7"/>
        </w:numPr>
        <w:spacing w:after="160" w:line="259" w:lineRule="auto"/>
        <w:ind w:right="0"/>
        <w:jc w:val="left"/>
        <w:rPr>
          <w:rFonts w:ascii="Calibri" w:hAnsi="Calibri" w:eastAsia="Calibri" w:cs="Calibri"/>
          <w:sz w:val="24"/>
          <w:szCs w:val="24"/>
        </w:rPr>
      </w:pPr>
      <w:r>
        <w:rPr>
          <w:rFonts w:ascii="Calibri" w:hAnsi="Calibri" w:eastAsia="Calibri" w:cs="Calibri"/>
          <w:b/>
          <w:bCs/>
          <w:sz w:val="24"/>
          <w:szCs w:val="24"/>
          <w:lang w:val="de-DE"/>
        </w:rPr>
        <w:t>Die Ausweitung auf 23 Länder</w:t>
      </w:r>
      <w:r>
        <w:rPr>
          <w:rFonts w:ascii="Calibri" w:hAnsi="Calibri" w:eastAsia="Calibri" w:cs="Calibri"/>
          <w:sz w:val="24"/>
          <w:szCs w:val="24"/>
          <w:lang w:val="de-DE"/>
        </w:rPr>
        <w:t>, darunter fünf neue Teilnehmer, um die Reichweite und das Engagement in ganz Europa zu vergrößern.</w:t>
      </w:r>
    </w:p>
    <w:p w:rsidRPr="00176062" w:rsidR="00BC5CD7" w:rsidP="051B6C9D" w:rsidRDefault="005E5EAA" w14:paraId="27A60A37" w14:textId="77777777">
      <w:pPr>
        <w:numPr>
          <w:ilvl w:val="0"/>
          <w:numId w:val="7"/>
        </w:numPr>
        <w:spacing w:after="160" w:line="259" w:lineRule="auto"/>
        <w:ind w:right="0"/>
        <w:jc w:val="left"/>
        <w:rPr>
          <w:rFonts w:ascii="Calibri" w:hAnsi="Calibri" w:eastAsia="Calibri" w:cs="Calibri"/>
          <w:sz w:val="24"/>
          <w:szCs w:val="24"/>
        </w:rPr>
      </w:pPr>
      <w:r>
        <w:rPr>
          <w:rFonts w:ascii="Calibri" w:hAnsi="Calibri" w:eastAsia="Calibri" w:cs="Calibri"/>
          <w:b/>
          <w:bCs/>
          <w:sz w:val="24"/>
          <w:szCs w:val="24"/>
          <w:lang w:val="de-DE"/>
        </w:rPr>
        <w:t>Die Thematisierung wichtiger Verbraucherbedenken</w:t>
      </w:r>
      <w:r>
        <w:rPr>
          <w:rFonts w:ascii="Calibri" w:hAnsi="Calibri" w:eastAsia="Calibri" w:cs="Calibri"/>
          <w:sz w:val="24"/>
          <w:szCs w:val="24"/>
          <w:lang w:val="de-DE"/>
        </w:rPr>
        <w:t>, darunter die Rolle der Wissenschaft beim Thema Lebensmittelsicherheit, die Bedeutung verständlicher Lebensmittelkennzeichnung und die Vorteile von weniger Lebensmittelverschwendung.</w:t>
      </w:r>
    </w:p>
    <w:p w:rsidRPr="00176062" w:rsidR="00BC5CD7" w:rsidP="051B6C9D" w:rsidRDefault="005E5EAA" w14:paraId="27E2BA6C" w14:textId="77777777">
      <w:pPr>
        <w:numPr>
          <w:ilvl w:val="0"/>
          <w:numId w:val="7"/>
        </w:numPr>
        <w:spacing w:after="160" w:line="259" w:lineRule="auto"/>
        <w:ind w:right="0"/>
        <w:jc w:val="left"/>
        <w:rPr>
          <w:rFonts w:ascii="Calibri" w:hAnsi="Calibri" w:eastAsia="Calibri" w:cs="Calibri"/>
          <w:sz w:val="24"/>
          <w:szCs w:val="24"/>
        </w:rPr>
      </w:pPr>
      <w:r>
        <w:rPr>
          <w:rFonts w:ascii="Calibri" w:hAnsi="Calibri" w:eastAsia="Calibri" w:cs="Calibri"/>
          <w:b/>
          <w:bCs/>
          <w:sz w:val="24"/>
          <w:szCs w:val="24"/>
          <w:lang w:val="de-DE"/>
        </w:rPr>
        <w:t xml:space="preserve">Mehr Barrierefreiheit </w:t>
      </w:r>
      <w:r>
        <w:rPr>
          <w:rFonts w:ascii="Calibri" w:hAnsi="Calibri" w:eastAsia="Calibri" w:cs="Calibri"/>
          <w:sz w:val="24"/>
          <w:szCs w:val="24"/>
          <w:lang w:val="de-DE"/>
        </w:rPr>
        <w:t>der Informationen zu Lebensmittelsicherheit durch neue Ressourcen in leichter Sprache für verschiedene demographische Gruppen und kulturelle Kontexte.</w:t>
      </w:r>
    </w:p>
    <w:p w:rsidRPr="00176062" w:rsidR="00BC5CD7" w:rsidP="051B6C9D" w:rsidRDefault="005E5EAA" w14:paraId="40167DED" w14:textId="77777777">
      <w:pPr>
        <w:spacing w:after="160" w:line="259" w:lineRule="auto"/>
        <w:rPr>
          <w:rStyle w:val="normaltextrun"/>
          <w:rFonts w:ascii="Calibri" w:hAnsi="Calibri" w:eastAsia="Calibri" w:cs="Calibri"/>
          <w:b/>
          <w:bCs/>
          <w:color w:val="1F4E79"/>
          <w:sz w:val="24"/>
          <w:szCs w:val="24"/>
        </w:rPr>
      </w:pPr>
      <w:r>
        <w:rPr>
          <w:rStyle w:val="normaltextrun"/>
          <w:rFonts w:ascii="Calibri" w:hAnsi="Calibri" w:eastAsia="Calibri" w:cs="Calibri"/>
          <w:b/>
          <w:bCs/>
          <w:color w:val="1F4E79" w:themeColor="accent5" w:themeShade="80"/>
          <w:sz w:val="24"/>
          <w:szCs w:val="24"/>
          <w:lang w:val="de-DE"/>
        </w:rPr>
        <w:t>EFSA setzt auf langfristigen Erfolg</w:t>
      </w:r>
    </w:p>
    <w:p w:rsidRPr="00176062" w:rsidR="00BC5CD7" w:rsidP="051B6C9D" w:rsidRDefault="005E5EAA" w14:paraId="39E9CBE2" w14:textId="77777777">
      <w:pPr>
        <w:spacing w:after="160" w:line="259" w:lineRule="auto"/>
        <w:rPr>
          <w:rFonts w:ascii="Calibri" w:hAnsi="Calibri" w:eastAsia="Calibri" w:cs="Calibri"/>
          <w:sz w:val="24"/>
          <w:szCs w:val="24"/>
        </w:rPr>
      </w:pPr>
      <w:r>
        <w:rPr>
          <w:rFonts w:ascii="Calibri" w:hAnsi="Calibri" w:eastAsia="Calibri" w:cs="Calibri"/>
          <w:sz w:val="24"/>
          <w:szCs w:val="24"/>
          <w:lang w:val="de-DE"/>
        </w:rPr>
        <w:t>„</w:t>
      </w:r>
      <w:r>
        <w:rPr>
          <w:rFonts w:ascii="Calibri" w:hAnsi="Calibri" w:eastAsia="Calibri" w:cs="Calibri"/>
          <w:i/>
          <w:iCs/>
          <w:sz w:val="24"/>
          <w:szCs w:val="24"/>
          <w:lang w:val="de-DE"/>
        </w:rPr>
        <w:t>Die Menschen in Europa müssen sich in einem komplexen Lebensmittelumfeld zurechtfinden. Daher ist es wichtig, dass sie sich befähigt zu informierten Entscheidungen fühlen</w:t>
      </w:r>
      <w:r>
        <w:rPr>
          <w:rFonts w:ascii="Calibri" w:hAnsi="Calibri" w:eastAsia="Calibri" w:cs="Calibri"/>
          <w:sz w:val="24"/>
          <w:szCs w:val="24"/>
          <w:lang w:val="de-DE"/>
        </w:rPr>
        <w:t xml:space="preserve">“, erklärt Bernhard Url, geschäftsführender Direktor der EFSA. </w:t>
      </w:r>
      <w:r>
        <w:rPr>
          <w:rFonts w:ascii="Calibri" w:hAnsi="Calibri" w:eastAsia="Calibri" w:cs="Calibri"/>
          <w:i/>
          <w:iCs/>
          <w:sz w:val="24"/>
          <w:szCs w:val="24"/>
          <w:lang w:val="de-DE"/>
        </w:rPr>
        <w:t>„Mit der Kampagne ‚Safe2Eat‘ wird eine Brücke zwischen der Wissenschaft zur Lebensmittelsicherheit und alltäglichen Entscheidungen geschlagen, indem verständliche und praktische Informationen geboten werden, die Verbrauchenden mehr Zuversicht bieten. Mit der Ausweitung auf noch mehr Länder im Jahr 2025 unternehmen wir einen weiteren Schritt auf dem Weg, dass jede Europäerin und jeder Europäer Zugang zu zuverlässigen, wissenschaftlich fundierten Leitlinien für die Lebensmittelsicherheit hat.“</w:t>
      </w:r>
    </w:p>
    <w:p w:rsidRPr="00176062" w:rsidR="00BC5CD7" w:rsidP="051B6C9D" w:rsidRDefault="005E5EAA" w14:paraId="593F6E53" w14:textId="77777777">
      <w:pPr>
        <w:spacing w:after="160" w:line="259" w:lineRule="auto"/>
        <w:rPr>
          <w:rStyle w:val="normaltextrun"/>
          <w:rFonts w:ascii="Calibri" w:hAnsi="Calibri" w:eastAsia="Calibri" w:cs="Calibri"/>
          <w:b/>
          <w:bCs/>
          <w:color w:val="1F4E79" w:themeColor="accent5" w:themeShade="80"/>
          <w:sz w:val="24"/>
          <w:szCs w:val="24"/>
        </w:rPr>
      </w:pPr>
      <w:r>
        <w:rPr>
          <w:rStyle w:val="normaltextrun"/>
          <w:rFonts w:ascii="Calibri" w:hAnsi="Calibri" w:eastAsia="Calibri" w:cs="Calibri"/>
          <w:b/>
          <w:bCs/>
          <w:color w:val="1F4E79" w:themeColor="accent5" w:themeShade="80"/>
          <w:sz w:val="24"/>
          <w:szCs w:val="24"/>
          <w:lang w:val="de-DE"/>
        </w:rPr>
        <w:t>So beteiligen Sie sich!</w:t>
      </w:r>
    </w:p>
    <w:p w:rsidRPr="00176062" w:rsidR="00BC5CD7" w:rsidP="051B6C9D" w:rsidRDefault="005E5EAA" w14:paraId="71783C18" w14:textId="77777777">
      <w:pPr>
        <w:spacing w:after="160" w:line="259" w:lineRule="auto"/>
        <w:rPr>
          <w:rFonts w:ascii="Calibri" w:hAnsi="Calibri" w:eastAsia="Calibri" w:cs="Calibri"/>
          <w:sz w:val="24"/>
          <w:szCs w:val="24"/>
        </w:rPr>
      </w:pPr>
      <w:r>
        <w:rPr>
          <w:rFonts w:ascii="Calibri" w:hAnsi="Calibri" w:eastAsia="Calibri" w:cs="Calibri"/>
          <w:sz w:val="24"/>
          <w:szCs w:val="24"/>
          <w:lang w:val="de-DE"/>
        </w:rPr>
        <w:t xml:space="preserve">Im Laufe des Jahres finden auf EU- und nationaler Ebene zahlreiche Initiativen von Safe2Eat statt. Verbraucherinnen und Verbraucher können gern die offizielle </w:t>
      </w:r>
      <w:hyperlink r:id="rId11">
        <w:r>
          <w:rPr>
            <w:rStyle w:val="Hyperlink"/>
            <w:rFonts w:ascii="Calibri" w:hAnsi="Calibri" w:eastAsia="Calibri" w:cs="Calibri"/>
            <w:sz w:val="24"/>
            <w:szCs w:val="24"/>
            <w:lang w:val="de-DE"/>
          </w:rPr>
          <w:t>Website der Kampagne</w:t>
        </w:r>
      </w:hyperlink>
      <w:r>
        <w:rPr>
          <w:rFonts w:ascii="Calibri" w:hAnsi="Calibri" w:eastAsia="Calibri" w:cs="Calibri"/>
          <w:sz w:val="24"/>
          <w:szCs w:val="24"/>
          <w:lang w:val="de-DE"/>
        </w:rPr>
        <w:t xml:space="preserve"> besuchen, Lehrmaterialien durchblättern und mit #Safe2EatEU die Inhalte in sozialen Medien teilen.</w:t>
      </w:r>
    </w:p>
    <w:p w:rsidR="051B6C9D" w:rsidP="051B6C9D" w:rsidRDefault="051B6C9D" w14:paraId="2CA64BAC" w14:textId="77777777">
      <w:pPr>
        <w:pStyle w:val="paragraph"/>
        <w:spacing w:before="0" w:beforeAutospacing="0" w:after="0" w:afterAutospacing="0"/>
        <w:jc w:val="both"/>
        <w:rPr>
          <w:rStyle w:val="normaltextrun"/>
          <w:rFonts w:ascii="Calibri" w:hAnsi="Calibri" w:eastAsia="Calibri" w:cs="Calibri"/>
          <w:b/>
          <w:bCs/>
          <w:color w:val="1F4E79" w:themeColor="accent5" w:themeShade="80"/>
        </w:rPr>
      </w:pPr>
    </w:p>
    <w:p w:rsidRPr="00680706" w:rsidR="00506395" w:rsidP="051B6C9D" w:rsidRDefault="005E5EAA" w14:paraId="02B1CF25" w14:textId="77777777">
      <w:pPr>
        <w:pStyle w:val="paragraph"/>
        <w:spacing w:before="0" w:beforeAutospacing="0" w:after="0" w:afterAutospacing="0"/>
        <w:jc w:val="both"/>
        <w:textAlignment w:val="baseline"/>
        <w:rPr>
          <w:rStyle w:val="eop"/>
          <w:rFonts w:ascii="Calibri" w:hAnsi="Calibri" w:eastAsia="Calibri" w:cs="Calibri"/>
          <w:color w:val="1F4E79"/>
        </w:rPr>
      </w:pPr>
      <w:r>
        <w:rPr>
          <w:rStyle w:val="normaltextrun"/>
          <w:rFonts w:ascii="Calibri" w:hAnsi="Calibri" w:eastAsia="Calibri" w:cs="Calibri"/>
          <w:b/>
          <w:bCs/>
          <w:color w:val="1F4E79" w:themeColor="accent5" w:themeShade="80"/>
          <w:lang w:val="de-DE"/>
        </w:rPr>
        <w:t>Über die EFSA</w:t>
      </w:r>
      <w:r>
        <w:rPr>
          <w:rStyle w:val="eop"/>
          <w:rFonts w:ascii="Calibri" w:hAnsi="Calibri" w:eastAsia="Calibri" w:cs="Calibri"/>
          <w:color w:val="1F4E79" w:themeColor="accent5" w:themeShade="80"/>
          <w:lang w:val="de-DE"/>
        </w:rPr>
        <w:t> </w:t>
      </w:r>
    </w:p>
    <w:p w:rsidRPr="00680706" w:rsidR="00506395" w:rsidP="051B6C9D" w:rsidRDefault="00506395" w14:paraId="7A6460C1"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77E0D3A8" w14:textId="77777777">
      <w:pPr>
        <w:pStyle w:val="paragraph"/>
        <w:spacing w:before="0" w:beforeAutospacing="0" w:after="0" w:afterAutospacing="0"/>
        <w:jc w:val="both"/>
        <w:textAlignment w:val="baseline"/>
        <w:rPr>
          <w:rFonts w:ascii="Calibri" w:hAnsi="Calibri" w:eastAsia="Calibri" w:cs="Calibri"/>
        </w:rPr>
      </w:pPr>
      <w:r>
        <w:rPr>
          <w:rFonts w:ascii="Calibri" w:hAnsi="Calibri" w:eastAsia="Calibri" w:cs="Calibri"/>
          <w:color w:val="22294D"/>
          <w:lang w:val="de-DE"/>
        </w:rPr>
        <w:t>Die Europäische Behörde für Lebensmittelsicherheit (EFSA) ist eine 2002 eingerichtete Agentur der Europäischen Union, die als unabhängige Quelle wissenschaftlicher Beratung für das Risikomanagement und die Kommunikation von Risiken bezüglich der Lebensmittelkette dient.  </w:t>
      </w:r>
    </w:p>
    <w:p w:rsidRPr="00680706" w:rsidR="00506395" w:rsidP="051B6C9D" w:rsidRDefault="00506395" w14:paraId="0724DB6E"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2C02C721" w14:textId="77777777">
      <w:pPr>
        <w:pStyle w:val="paragraph"/>
        <w:spacing w:before="0" w:beforeAutospacing="0" w:after="0" w:afterAutospacing="0"/>
        <w:jc w:val="both"/>
        <w:textAlignment w:val="baseline"/>
        <w:rPr>
          <w:rFonts w:ascii="Calibri" w:hAnsi="Calibri" w:eastAsia="Calibri" w:cs="Calibri"/>
        </w:rPr>
      </w:pPr>
      <w:r>
        <w:rPr>
          <w:rFonts w:ascii="Calibri" w:hAnsi="Calibri" w:eastAsia="Calibri" w:cs="Calibri"/>
          <w:color w:val="22294D"/>
          <w:lang w:val="de-DE"/>
        </w:rPr>
        <w:t>Sie stellt die wissenschaftliche Grundlage für Gesetze und Verordnungen zum Schutz der europäischen Verbraucherschaft vor lebensmittelbedingten Risiken bereit und arbeitet mit nationalen Partnern zusammen, um die Konsistenz der wissenschaftlichen Beratung in der EU zu gewährleisten.</w:t>
      </w:r>
    </w:p>
    <w:p w:rsidRPr="00680706" w:rsidR="00506395" w:rsidP="051B6C9D" w:rsidRDefault="005E5EAA" w14:paraId="019E115D" w14:textId="77777777">
      <w:pPr>
        <w:pStyle w:val="paragraph"/>
        <w:spacing w:before="0" w:beforeAutospacing="0" w:after="0" w:afterAutospacing="0"/>
        <w:jc w:val="both"/>
        <w:textAlignment w:val="baseline"/>
        <w:rPr>
          <w:rFonts w:ascii="Calibri" w:hAnsi="Calibri" w:eastAsia="Calibri" w:cs="Calibri"/>
        </w:rPr>
      </w:pPr>
      <w:r>
        <w:rPr>
          <w:rStyle w:val="eop"/>
          <w:rFonts w:ascii="Calibri" w:hAnsi="Calibri" w:eastAsia="Calibri" w:cs="Calibri"/>
          <w:lang w:val="de-DE"/>
        </w:rPr>
        <w:t> </w:t>
      </w:r>
    </w:p>
    <w:p w:rsidRPr="00680706" w:rsidR="00506395" w:rsidP="051B6C9D" w:rsidRDefault="005E5EAA" w14:paraId="280CBE21" w14:textId="77777777">
      <w:pPr>
        <w:pStyle w:val="paragraph"/>
        <w:spacing w:before="0" w:beforeAutospacing="0" w:after="0" w:afterAutospacing="0"/>
        <w:jc w:val="both"/>
        <w:textAlignment w:val="baseline"/>
        <w:rPr>
          <w:rStyle w:val="eop"/>
          <w:rFonts w:ascii="Calibri" w:hAnsi="Calibri" w:eastAsia="Calibri" w:cs="Calibri"/>
          <w:color w:val="1F4E79"/>
        </w:rPr>
      </w:pPr>
      <w:r>
        <w:rPr>
          <w:rStyle w:val="normaltextrun"/>
          <w:rFonts w:ascii="Calibri" w:hAnsi="Calibri" w:eastAsia="Calibri" w:cs="Calibri"/>
          <w:b/>
          <w:bCs/>
          <w:color w:val="1F4E79" w:themeColor="accent5" w:themeShade="80"/>
          <w:lang w:val="de-DE"/>
        </w:rPr>
        <w:t>Kontakt</w:t>
      </w:r>
      <w:r>
        <w:rPr>
          <w:rStyle w:val="eop"/>
          <w:rFonts w:ascii="Calibri" w:hAnsi="Calibri" w:eastAsia="Calibri" w:cs="Calibri"/>
          <w:color w:val="1F4E79" w:themeColor="accent5" w:themeShade="80"/>
          <w:lang w:val="de-DE"/>
        </w:rPr>
        <w:t> </w:t>
      </w:r>
    </w:p>
    <w:p w:rsidRPr="00680706" w:rsidR="00506395" w:rsidP="051B6C9D" w:rsidRDefault="00506395" w14:paraId="0BE6CB50" w14:textId="77777777">
      <w:pPr>
        <w:pStyle w:val="paragraph"/>
        <w:spacing w:before="0" w:beforeAutospacing="0" w:after="0" w:afterAutospacing="0"/>
        <w:jc w:val="both"/>
        <w:textAlignment w:val="baseline"/>
        <w:rPr>
          <w:rFonts w:ascii="Calibri" w:hAnsi="Calibri" w:eastAsia="Calibri" w:cs="Calibri"/>
        </w:rPr>
      </w:pPr>
    </w:p>
    <w:p w:rsidRPr="00680706" w:rsidR="00506395" w:rsidP="051B6C9D" w:rsidRDefault="005E5EAA" w14:paraId="30127A71" w14:textId="77777777">
      <w:pPr>
        <w:pStyle w:val="paragraph"/>
        <w:spacing w:before="0" w:beforeAutospacing="0" w:after="0" w:afterAutospacing="0"/>
        <w:textAlignment w:val="baseline"/>
        <w:rPr>
          <w:rFonts w:ascii="Calibri" w:hAnsi="Calibri" w:eastAsia="Calibri" w:cs="Calibri"/>
          <w:color w:val="22294D"/>
        </w:rPr>
      </w:pPr>
      <w:r>
        <w:rPr>
          <w:rFonts w:ascii="Calibri" w:hAnsi="Calibri" w:eastAsia="Calibri" w:cs="Calibri"/>
          <w:color w:val="22294D"/>
          <w:u w:val="single"/>
          <w:lang w:val="de-DE"/>
        </w:rPr>
        <w:lastRenderedPageBreak/>
        <w:t xml:space="preserve">Für Medienanfragen wenden Sie sich bitte an </w:t>
      </w:r>
      <w:hyperlink w:tgtFrame="_blank" w:history="1" r:id="rId12">
        <w:r>
          <w:rPr>
            <w:rStyle w:val="normaltextrun"/>
            <w:rFonts w:ascii="Calibri" w:hAnsi="Calibri" w:eastAsia="Calibri" w:cs="Calibri"/>
            <w:color w:val="1155CC"/>
            <w:u w:val="single"/>
            <w:shd w:val="clear" w:color="auto" w:fill="FFFFFF"/>
            <w:lang w:val="de-DE"/>
          </w:rPr>
          <w:t>Press@efsa.europa.eu</w:t>
        </w:r>
      </w:hyperlink>
      <w:r>
        <w:rPr>
          <w:rFonts w:ascii="Calibri" w:hAnsi="Calibri" w:eastAsia="Calibri" w:cs="Calibri"/>
          <w:color w:val="22294D"/>
          <w:lang w:val="de-DE"/>
        </w:rPr>
        <w:t xml:space="preserve"> oder rufen Sie uns an unter +39 0521 036 14  </w:t>
      </w:r>
    </w:p>
    <w:p w:rsidRPr="00680706" w:rsidR="00506395" w:rsidP="051B6C9D" w:rsidRDefault="00506395" w14:paraId="4FF00FFD" w14:textId="77777777">
      <w:pPr>
        <w:pStyle w:val="paragraph"/>
        <w:spacing w:before="0" w:beforeAutospacing="0" w:after="0" w:afterAutospacing="0"/>
        <w:textAlignment w:val="baseline"/>
        <w:rPr>
          <w:rFonts w:ascii="Calibri" w:hAnsi="Calibri" w:eastAsia="Calibri" w:cs="Calibri"/>
          <w:sz w:val="18"/>
          <w:szCs w:val="18"/>
        </w:rPr>
      </w:pPr>
    </w:p>
    <w:p w:rsidRPr="00680706" w:rsidR="00795E02" w:rsidP="051B6C9D" w:rsidRDefault="00795E02" w14:paraId="47A23151" w14:textId="77777777">
      <w:pPr>
        <w:rPr>
          <w:rFonts w:ascii="Calibri" w:hAnsi="Calibri" w:eastAsia="Calibri" w:cs="Calibri"/>
        </w:rPr>
      </w:pPr>
    </w:p>
    <w:sectPr w:rsidRPr="00680706" w:rsidR="00795E02" w:rsidSect="00FB1EB5">
      <w:headerReference w:type="default" r:id="rId13"/>
      <w:footerReference w:type="default" r:id="rId14"/>
      <w:headerReference w:type="first" r:id="rId15"/>
      <w:footerReference w:type="first" r:id="rId16"/>
      <w:pgSz w:w="11906" w:h="16838" w:orient="portrait"/>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5EAA" w:rsidRDefault="005E5EAA" w14:paraId="31B91740" w14:textId="77777777">
      <w:pPr>
        <w:spacing w:after="0"/>
      </w:pPr>
      <w:r>
        <w:separator/>
      </w:r>
    </w:p>
  </w:endnote>
  <w:endnote w:type="continuationSeparator" w:id="0">
    <w:p w:rsidR="005E5EAA" w:rsidRDefault="005E5EAA" w14:paraId="2139F54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856131" w:rsidTr="00985D8D" w14:paraId="6578EF5D" w14:textId="77777777">
      <w:tc>
        <w:tcPr>
          <w:tcW w:w="8505" w:type="dxa"/>
          <w:shd w:val="clear" w:color="auto" w:fill="auto"/>
        </w:tcPr>
        <w:p w:rsidR="00246A65" w:rsidP="00246A65" w:rsidRDefault="00246A65" w14:paraId="50B9081C" w14:textId="77777777">
          <w:pPr>
            <w:pStyle w:val="Footer"/>
          </w:pPr>
        </w:p>
      </w:tc>
    </w:tr>
  </w:tbl>
  <w:p w:rsidRPr="005B3B3E" w:rsidR="00246A65" w:rsidP="00246A65" w:rsidRDefault="00246A65" w14:paraId="6B83BE6A" w14:textId="77777777">
    <w:pPr>
      <w:pStyle w:val="Footer"/>
    </w:pPr>
  </w:p>
  <w:p w:rsidRPr="00EA7E45" w:rsidR="00246A65" w:rsidP="00246A65" w:rsidRDefault="00246A65" w14:paraId="382CDD79" w14:textId="77777777">
    <w:pPr>
      <w:pStyle w:val="Footer"/>
    </w:pPr>
  </w:p>
  <w:p w:rsidR="00246A65" w:rsidRDefault="00246A65" w14:paraId="2C393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856131" w:rsidTr="00246A65" w14:paraId="5254DC06" w14:textId="77777777">
      <w:tc>
        <w:tcPr>
          <w:tcW w:w="8505" w:type="dxa"/>
          <w:shd w:val="clear" w:color="auto" w:fill="auto"/>
        </w:tcPr>
        <w:p w:rsidR="00246A65" w:rsidP="00EA7E45" w:rsidRDefault="00246A65" w14:paraId="3E154DC2" w14:textId="77777777">
          <w:pPr>
            <w:pStyle w:val="Footer"/>
          </w:pPr>
        </w:p>
      </w:tc>
    </w:tr>
  </w:tbl>
  <w:p w:rsidRPr="005B3B3E" w:rsidR="00EA7E45" w:rsidP="00EA7E45" w:rsidRDefault="00EA7E45" w14:paraId="1C89B623" w14:textId="77777777">
    <w:pPr>
      <w:pStyle w:val="Footer"/>
    </w:pPr>
  </w:p>
  <w:p w:rsidRPr="00EA7E45" w:rsidR="00EA7E45" w:rsidP="00EA7E45" w:rsidRDefault="00EA7E45" w14:paraId="6A1D1C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5EAA" w:rsidRDefault="005E5EAA" w14:paraId="34EDBC7D" w14:textId="77777777">
      <w:pPr>
        <w:spacing w:after="0"/>
      </w:pPr>
      <w:r>
        <w:separator/>
      </w:r>
    </w:p>
  </w:footnote>
  <w:footnote w:type="continuationSeparator" w:id="0">
    <w:p w:rsidR="005E5EAA" w:rsidRDefault="005E5EAA" w14:paraId="78E36B4B"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7E45" w:rsidP="00EA7E45" w:rsidRDefault="005E5EAA" w14:paraId="320730E1" w14:textId="77777777">
    <w:pPr>
      <w:pStyle w:val="Header"/>
      <w:jc w:val="right"/>
    </w:pPr>
    <w:r>
      <w:rPr>
        <w:noProof/>
        <w:lang w:val="de-DE"/>
      </w:rPr>
      <mc:AlternateContent>
        <mc:Choice Requires="wps">
          <w:drawing>
            <wp:anchor distT="0" distB="0" distL="114300" distR="114300" simplePos="0" relativeHeight="251666432" behindDoc="0" locked="0" layoutInCell="1" allowOverlap="1" wp14:anchorId="4AE154AB" wp14:editId="417A09E0">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de-DE"/>
      </w:rPr>
      <w:drawing>
        <wp:anchor distT="0" distB="0" distL="114300" distR="114300" simplePos="0" relativeHeight="251665408" behindDoc="0" locked="0" layoutInCell="1" allowOverlap="1" wp14:anchorId="01D9A37B" wp14:editId="156155A4">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de-DE"/>
      </w:rPr>
      <w:t xml:space="preserve"> </w:t>
    </w:r>
    <w:r>
      <w:rPr>
        <w:noProof/>
        <w:lang w:val="de-DE"/>
      </w:rPr>
      <mc:AlternateContent>
        <mc:Choice Requires="wps">
          <w:drawing>
            <wp:anchor distT="0" distB="0" distL="114300" distR="114300" simplePos="0" relativeHeight="251663360" behindDoc="1" locked="0" layoutInCell="1" allowOverlap="1" wp14:anchorId="521F31A5" wp14:editId="11C07936">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0EA235B1" w14:textId="77777777">
                          <w:pPr>
                            <w:pStyle w:val="Heading4"/>
                          </w:pPr>
                        </w:p>
                        <w:p w:rsidRPr="0059261D" w:rsidR="00795E02" w:rsidP="00795E02" w:rsidRDefault="00795E02" w14:paraId="7FF28723" w14:textId="77777777">
                          <w:pPr>
                            <w:pStyle w:val="Heading4"/>
                          </w:pPr>
                        </w:p>
                        <w:p w:rsidRPr="0059261D" w:rsidR="00795E02" w:rsidP="00795E02" w:rsidRDefault="00795E02" w14:paraId="163740A1" w14:textId="77777777">
                          <w:pPr>
                            <w:pStyle w:val="Heading3"/>
                          </w:pPr>
                        </w:p>
                        <w:p w:rsidRPr="00795E02" w:rsidR="00795E02" w:rsidP="00795E02" w:rsidRDefault="00795E02" w14:paraId="60B71E2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style="width:596.65pt;height:97.3pt;margin-top:-34.3pt;margin-left:-86pt;mso-height-percent:0;mso-height-relative:margin;mso-width-percent:0;mso-width-relative:margin;mso-wrap-distance-bottom:0;mso-wrap-distance-left:9pt;mso-wrap-distance-right:9pt;mso-wrap-distance-top:0;mso-wrap-style:square;position:absolute;visibility:visible;v-text-anchor:middle;z-index:-251652096" o:spid="_x0000_s2050" fillcolor="#787878" stroked="f" strokeweight="1pt">
              <v:textbox>
                <w:txbxContent>
                  <w:p w:rsidRPr="0059261D" w:rsidR="00795E02" w:rsidP="00795E02" w14:paraId="2829897D" w14:textId="77777777">
                    <w:pPr>
                      <w:pStyle w:val="Heading4"/>
                    </w:pPr>
                  </w:p>
                  <w:p w:rsidRPr="0059261D" w:rsidR="00795E02" w:rsidP="00795E02" w14:paraId="5C8C5574" w14:textId="77777777">
                    <w:pPr>
                      <w:pStyle w:val="Heading4"/>
                    </w:pPr>
                  </w:p>
                  <w:p w:rsidRPr="0059261D" w:rsidR="00795E02" w:rsidP="00795E02" w14:paraId="0EB72334" w14:textId="77777777">
                    <w:pPr>
                      <w:pStyle w:val="Heading3"/>
                    </w:pPr>
                  </w:p>
                  <w:p w:rsidRPr="00795E02" w:rsidR="00795E02" w:rsidP="00795E02" w14:paraId="22CE3020" w14:textId="77777777">
                    <w:pPr>
                      <w:jc w:val="center"/>
                    </w:pPr>
                  </w:p>
                </w:txbxContent>
              </v:textbox>
            </v:rect>
          </w:pict>
        </mc:Fallback>
      </mc:AlternateContent>
    </w:r>
  </w:p>
  <w:p w:rsidRPr="0059261D" w:rsidR="00795E02" w:rsidP="00795E02" w:rsidRDefault="005E5EAA" w14:paraId="58EB021A" w14:textId="77777777">
    <w:pPr>
      <w:pStyle w:val="Heading4"/>
    </w:pPr>
    <w:r>
      <w:rPr>
        <w:lang w:val="de-DE"/>
      </w:rPr>
      <w:t>PRESSEMITTEILUNG</w:t>
    </w:r>
  </w:p>
  <w:p w:rsidR="00EA7E45" w:rsidP="00795E02" w:rsidRDefault="00AC4FA1" w14:paraId="4ABC7B88" w14:textId="77777777">
    <w:pPr>
      <w:pStyle w:val="Heading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5E5EAA">
          <w:rPr>
            <w:lang w:val="de-DE"/>
          </w:rPr>
          <w:t>SAFE2EAT</w:t>
        </w:r>
      </w:sdtContent>
    </w:sdt>
    <w:r w:rsidR="005E5EAA">
      <w:rPr>
        <w:lang w:val="de-DE"/>
      </w:rPr>
      <w:t xml:space="preserve"> </w:t>
    </w:r>
  </w:p>
  <w:p w:rsidRPr="00246A65" w:rsidR="00246A65" w:rsidP="00246A65" w:rsidRDefault="00246A65" w14:paraId="3BDBF35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7E45" w:rsidP="00EA7E45" w:rsidRDefault="005E5EAA" w14:paraId="5A6D62A1" w14:textId="77777777">
    <w:pPr>
      <w:pStyle w:val="Header"/>
    </w:pPr>
    <w:r>
      <w:rPr>
        <w:noProof/>
        <w:lang w:val="de-DE"/>
      </w:rPr>
      <w:drawing>
        <wp:anchor distT="0" distB="0" distL="114300" distR="114300" simplePos="0" relativeHeight="251660288" behindDoc="0" locked="0" layoutInCell="1" allowOverlap="1" wp14:anchorId="1FF6C02C" wp14:editId="58370A43">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8480" behindDoc="0" locked="0" layoutInCell="1" allowOverlap="1" wp14:anchorId="5291819C" wp14:editId="33260C46">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300" distR="114300" simplePos="0" relativeHeight="251661312" behindDoc="0" locked="0" layoutInCell="1" allowOverlap="1" wp14:anchorId="55B1A1A9" wp14:editId="1A93AE22">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59261D" w:rsidP="0059261D" w:rsidRDefault="005E5EAA" w14:paraId="3D01D5F0" w14:textId="77777777">
                          <w:pPr>
                            <w:pStyle w:val="Heading4"/>
                          </w:pPr>
                          <w:r>
                            <w:rPr>
                              <w:lang w:val="de-DE"/>
                            </w:rPr>
                            <w:t xml:space="preserve">PRESSEMITTEILUNG </w:t>
                          </w:r>
                        </w:p>
                        <w:p w:rsidRPr="009E6BA4" w:rsidR="009E6BA4" w:rsidP="009E6BA4" w:rsidRDefault="005E5EAA" w14:paraId="0A793314" w14:textId="77777777">
                          <w:pPr>
                            <w:rPr>
                              <w:color w:val="FFFFFF" w:themeColor="background1"/>
                              <w:sz w:val="24"/>
                              <w:szCs w:val="24"/>
                            </w:rPr>
                          </w:pPr>
                          <w:r>
                            <w:rPr>
                              <w:color w:val="FFFFFF" w:themeColor="background1"/>
                              <w:sz w:val="24"/>
                              <w:szCs w:val="24"/>
                              <w:lang w:val="de-DE"/>
                            </w:rPr>
                            <w:t>Zur sofortigen Veröffentlichung</w:t>
                          </w:r>
                        </w:p>
                        <w:p w:rsidRPr="009E6BA4" w:rsidR="009E6BA4" w:rsidP="009E6BA4" w:rsidRDefault="009E6BA4" w14:paraId="66A94667" w14:textId="77777777"/>
                        <w:p w:rsidR="0059261D" w:rsidP="0059261D" w:rsidRDefault="005E5EAA" w14:paraId="06FEC9D8" w14:textId="77777777">
                          <w:pPr>
                            <w:pStyle w:val="Heading3"/>
                          </w:pPr>
                          <w:r>
                            <w:rPr>
                              <w:lang w:val="de-DE"/>
                            </w:rPr>
                            <w:t>SAFE2EAT</w:t>
                          </w:r>
                        </w:p>
                        <w:p w:rsidR="00506395" w:rsidP="00506395" w:rsidRDefault="00506395" w14:paraId="77921093" w14:textId="77777777"/>
                        <w:p w:rsidRPr="00506395" w:rsidR="00506395" w:rsidP="00506395" w:rsidRDefault="00506395" w14:paraId="3992BE9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6" style="width:356.55pt;height:121.6pt;margin-top:-1.3pt;margin-left:-7.2pt;mso-height-percent:0;mso-height-relative:margin;mso-width-percent:0;mso-width-relative:margin;mso-wrap-distance-bottom:0;mso-wrap-distance-left:9pt;mso-wrap-distance-right:9pt;mso-wrap-distance-top:0;mso-wrap-style:square;position:absolute;visibility:visible;v-text-anchor:top;z-index:251662336" o:spid="_x0000_s2051" filled="f" stroked="f" strokeweight="0.5pt" type="#_x0000_t202">
              <v:textbox>
                <w:txbxContent>
                  <w:p w:rsidR="0059261D" w:rsidP="0059261D" w14:paraId="5CEBCE9C" w14:textId="4A4F2FD8">
                    <w:pPr>
                      <w:pStyle w:val="Heading4"/>
                    </w:pPr>
                    <w:r>
                      <w:t xml:space="preserve">PRESS RELEASE </w:t>
                    </w:r>
                  </w:p>
                  <w:p w:rsidRPr="009E6BA4" w:rsidR="009E6BA4" w:rsidP="009E6BA4" w14:paraId="304A67FE" w14:textId="77777777">
                    <w:pPr>
                      <w:rPr>
                        <w:color w:val="FFFFFF" w:themeColor="background1"/>
                        <w:sz w:val="24"/>
                        <w:szCs w:val="24"/>
                      </w:rPr>
                    </w:pPr>
                    <w:r>
                      <w:rPr>
                        <w:color w:val="FFFFFF" w:themeColor="background1"/>
                        <w:sz w:val="24"/>
                        <w:szCs w:val="24"/>
                      </w:rPr>
                      <w:t>For immediate release</w:t>
                    </w:r>
                  </w:p>
                  <w:p w:rsidRPr="009E6BA4" w:rsidR="009E6BA4" w:rsidP="009E6BA4" w14:paraId="6386E69C" w14:textId="77777777"/>
                  <w:p w:rsidR="0059261D" w:rsidP="0059261D" w14:paraId="5D621993" w14:textId="699DE643">
                    <w:pPr>
                      <w:pStyle w:val="Heading3"/>
                    </w:pPr>
                    <w:r>
                      <w:t>SAFE2EAT</w:t>
                    </w:r>
                  </w:p>
                  <w:p w:rsidR="00506395" w:rsidP="00506395" w14:paraId="5D1E3958" w14:textId="77777777"/>
                  <w:p w:rsidRPr="00506395" w:rsidR="00506395" w:rsidP="00506395" w14:paraId="4581B477" w14:textId="5DB4FD4B"/>
                </w:txbxContent>
              </v:textbox>
            </v:shape>
          </w:pict>
        </mc:Fallback>
      </mc:AlternateContent>
    </w:r>
    <w:r>
      <w:rPr>
        <w:noProof/>
        <w:lang w:val="de-DE"/>
      </w:rPr>
      <mc:AlternateContent>
        <mc:Choice Requires="wps">
          <w:drawing>
            <wp:anchor distT="0" distB="0" distL="114300" distR="114300" simplePos="0" relativeHeight="251659264" behindDoc="0" locked="0" layoutInCell="1" allowOverlap="1" wp14:anchorId="2E8C0ABF" wp14:editId="4D85044C">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rsidR="00EA7E45" w:rsidRDefault="005E5EAA" w14:paraId="316DA423" w14:textId="77777777">
    <w:pPr>
      <w:pStyle w:val="Header"/>
    </w:pPr>
    <w:r>
      <w:rPr>
        <w:noProof/>
        <w:lang w:val="de-DE"/>
      </w:rPr>
      <mc:AlternateContent>
        <mc:Choice Requires="wps">
          <w:drawing>
            <wp:anchor distT="0" distB="0" distL="114300" distR="114300" simplePos="0" relativeHeight="251667456" behindDoc="0" locked="0" layoutInCell="1" allowOverlap="1" wp14:anchorId="0302B952" wp14:editId="1A8C2CDF">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43A5"/>
    <w:multiLevelType w:val="hybridMultilevel"/>
    <w:tmpl w:val="13783F9E"/>
    <w:lvl w:ilvl="0" w:tplc="75247C40">
      <w:start w:val="1"/>
      <w:numFmt w:val="bullet"/>
      <w:lvlText w:val=""/>
      <w:lvlJc w:val="left"/>
      <w:pPr>
        <w:ind w:left="502" w:hanging="360"/>
      </w:pPr>
      <w:rPr>
        <w:rFonts w:hint="default" w:ascii="Symbol" w:hAnsi="Symbol"/>
        <w:color w:val="4472C4" w:themeColor="accent1"/>
        <w:sz w:val="18"/>
      </w:rPr>
    </w:lvl>
    <w:lvl w:ilvl="1" w:tplc="47BA15A4">
      <w:start w:val="1"/>
      <w:numFmt w:val="bullet"/>
      <w:pStyle w:val="Listparalevel2"/>
      <w:lvlText w:val="o"/>
      <w:lvlJc w:val="left"/>
      <w:pPr>
        <w:ind w:left="2576" w:hanging="360"/>
      </w:pPr>
      <w:rPr>
        <w:rFonts w:hint="default" w:ascii="Courier New" w:hAnsi="Courier New" w:cs="Courier New"/>
      </w:rPr>
    </w:lvl>
    <w:lvl w:ilvl="2" w:tplc="A8C62AAE">
      <w:start w:val="1"/>
      <w:numFmt w:val="bullet"/>
      <w:pStyle w:val="Listparalevel3"/>
      <w:lvlText w:val=""/>
      <w:lvlJc w:val="left"/>
      <w:pPr>
        <w:ind w:left="3296" w:hanging="360"/>
      </w:pPr>
      <w:rPr>
        <w:rFonts w:hint="default" w:ascii="Wingdings" w:hAnsi="Wingdings"/>
      </w:rPr>
    </w:lvl>
    <w:lvl w:ilvl="3" w:tplc="D4041F96" w:tentative="1">
      <w:start w:val="1"/>
      <w:numFmt w:val="bullet"/>
      <w:lvlText w:val=""/>
      <w:lvlJc w:val="left"/>
      <w:pPr>
        <w:ind w:left="4016" w:hanging="360"/>
      </w:pPr>
      <w:rPr>
        <w:rFonts w:hint="default" w:ascii="Symbol" w:hAnsi="Symbol"/>
      </w:rPr>
    </w:lvl>
    <w:lvl w:ilvl="4" w:tplc="1D06D8A2" w:tentative="1">
      <w:start w:val="1"/>
      <w:numFmt w:val="bullet"/>
      <w:lvlText w:val="o"/>
      <w:lvlJc w:val="left"/>
      <w:pPr>
        <w:ind w:left="4736" w:hanging="360"/>
      </w:pPr>
      <w:rPr>
        <w:rFonts w:hint="default" w:ascii="Courier New" w:hAnsi="Courier New" w:cs="Courier New"/>
      </w:rPr>
    </w:lvl>
    <w:lvl w:ilvl="5" w:tplc="4202CC64" w:tentative="1">
      <w:start w:val="1"/>
      <w:numFmt w:val="bullet"/>
      <w:lvlText w:val=""/>
      <w:lvlJc w:val="left"/>
      <w:pPr>
        <w:ind w:left="5456" w:hanging="360"/>
      </w:pPr>
      <w:rPr>
        <w:rFonts w:hint="default" w:ascii="Wingdings" w:hAnsi="Wingdings"/>
      </w:rPr>
    </w:lvl>
    <w:lvl w:ilvl="6" w:tplc="C7C09B08" w:tentative="1">
      <w:start w:val="1"/>
      <w:numFmt w:val="bullet"/>
      <w:lvlText w:val=""/>
      <w:lvlJc w:val="left"/>
      <w:pPr>
        <w:ind w:left="6176" w:hanging="360"/>
      </w:pPr>
      <w:rPr>
        <w:rFonts w:hint="default" w:ascii="Symbol" w:hAnsi="Symbol"/>
      </w:rPr>
    </w:lvl>
    <w:lvl w:ilvl="7" w:tplc="0D62CC2C" w:tentative="1">
      <w:start w:val="1"/>
      <w:numFmt w:val="bullet"/>
      <w:lvlText w:val="o"/>
      <w:lvlJc w:val="left"/>
      <w:pPr>
        <w:ind w:left="6896" w:hanging="360"/>
      </w:pPr>
      <w:rPr>
        <w:rFonts w:hint="default" w:ascii="Courier New" w:hAnsi="Courier New" w:cs="Courier New"/>
      </w:rPr>
    </w:lvl>
    <w:lvl w:ilvl="8" w:tplc="39BA0666"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7182F7C2">
      <w:start w:val="1"/>
      <w:numFmt w:val="decimal"/>
      <w:pStyle w:val="listnumgreen"/>
      <w:lvlText w:val="%1."/>
      <w:lvlJc w:val="left"/>
      <w:pPr>
        <w:ind w:left="360" w:hanging="360"/>
      </w:pPr>
      <w:rPr>
        <w:rFonts w:hint="default"/>
        <w:color w:val="22294D"/>
        <w:sz w:val="18"/>
      </w:rPr>
    </w:lvl>
    <w:lvl w:ilvl="1" w:tplc="746E121A" w:tentative="1">
      <w:start w:val="1"/>
      <w:numFmt w:val="lowerLetter"/>
      <w:lvlText w:val="%2."/>
      <w:lvlJc w:val="left"/>
      <w:pPr>
        <w:ind w:left="1440" w:hanging="360"/>
      </w:pPr>
    </w:lvl>
    <w:lvl w:ilvl="2" w:tplc="C31CBFAC" w:tentative="1">
      <w:start w:val="1"/>
      <w:numFmt w:val="lowerRoman"/>
      <w:lvlText w:val="%3."/>
      <w:lvlJc w:val="right"/>
      <w:pPr>
        <w:ind w:left="2160" w:hanging="180"/>
      </w:pPr>
    </w:lvl>
    <w:lvl w:ilvl="3" w:tplc="BA5871E6" w:tentative="1">
      <w:start w:val="1"/>
      <w:numFmt w:val="decimal"/>
      <w:lvlText w:val="%4."/>
      <w:lvlJc w:val="left"/>
      <w:pPr>
        <w:ind w:left="2880" w:hanging="360"/>
      </w:pPr>
    </w:lvl>
    <w:lvl w:ilvl="4" w:tplc="22F69B26" w:tentative="1">
      <w:start w:val="1"/>
      <w:numFmt w:val="lowerLetter"/>
      <w:lvlText w:val="%5."/>
      <w:lvlJc w:val="left"/>
      <w:pPr>
        <w:ind w:left="3600" w:hanging="360"/>
      </w:pPr>
    </w:lvl>
    <w:lvl w:ilvl="5" w:tplc="7F8820E2" w:tentative="1">
      <w:start w:val="1"/>
      <w:numFmt w:val="lowerRoman"/>
      <w:lvlText w:val="%6."/>
      <w:lvlJc w:val="right"/>
      <w:pPr>
        <w:ind w:left="4320" w:hanging="180"/>
      </w:pPr>
    </w:lvl>
    <w:lvl w:ilvl="6" w:tplc="CDB2D640" w:tentative="1">
      <w:start w:val="1"/>
      <w:numFmt w:val="decimal"/>
      <w:lvlText w:val="%7."/>
      <w:lvlJc w:val="left"/>
      <w:pPr>
        <w:ind w:left="5040" w:hanging="360"/>
      </w:pPr>
    </w:lvl>
    <w:lvl w:ilvl="7" w:tplc="0302C172" w:tentative="1">
      <w:start w:val="1"/>
      <w:numFmt w:val="lowerLetter"/>
      <w:lvlText w:val="%8."/>
      <w:lvlJc w:val="left"/>
      <w:pPr>
        <w:ind w:left="5760" w:hanging="360"/>
      </w:pPr>
    </w:lvl>
    <w:lvl w:ilvl="8" w:tplc="EEF01B7A"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56D3B"/>
    <w:rsid w:val="000B6425"/>
    <w:rsid w:val="000E674D"/>
    <w:rsid w:val="000F09FC"/>
    <w:rsid w:val="00111471"/>
    <w:rsid w:val="00120CDF"/>
    <w:rsid w:val="00126E4D"/>
    <w:rsid w:val="0013355C"/>
    <w:rsid w:val="00141C72"/>
    <w:rsid w:val="00146CC7"/>
    <w:rsid w:val="00167FDE"/>
    <w:rsid w:val="001715A9"/>
    <w:rsid w:val="00175661"/>
    <w:rsid w:val="00176062"/>
    <w:rsid w:val="001A0E65"/>
    <w:rsid w:val="001A0FE4"/>
    <w:rsid w:val="001C2F8C"/>
    <w:rsid w:val="001F0CA3"/>
    <w:rsid w:val="001F6E80"/>
    <w:rsid w:val="0022193D"/>
    <w:rsid w:val="002329F1"/>
    <w:rsid w:val="00246A65"/>
    <w:rsid w:val="00256EAA"/>
    <w:rsid w:val="00281359"/>
    <w:rsid w:val="00297C04"/>
    <w:rsid w:val="002A40AD"/>
    <w:rsid w:val="002A4DB9"/>
    <w:rsid w:val="002B7BB9"/>
    <w:rsid w:val="00306FA4"/>
    <w:rsid w:val="00323A85"/>
    <w:rsid w:val="00351686"/>
    <w:rsid w:val="00367010"/>
    <w:rsid w:val="003940BB"/>
    <w:rsid w:val="003A0FE5"/>
    <w:rsid w:val="003B46F5"/>
    <w:rsid w:val="00416D44"/>
    <w:rsid w:val="00420179"/>
    <w:rsid w:val="00485919"/>
    <w:rsid w:val="004A0F9D"/>
    <w:rsid w:val="004A79D0"/>
    <w:rsid w:val="004D13EB"/>
    <w:rsid w:val="00505B02"/>
    <w:rsid w:val="00506395"/>
    <w:rsid w:val="00507A72"/>
    <w:rsid w:val="00534718"/>
    <w:rsid w:val="0053677B"/>
    <w:rsid w:val="005448DC"/>
    <w:rsid w:val="0059261D"/>
    <w:rsid w:val="005B3B3E"/>
    <w:rsid w:val="005E5EAA"/>
    <w:rsid w:val="00634CDE"/>
    <w:rsid w:val="0066136C"/>
    <w:rsid w:val="00680706"/>
    <w:rsid w:val="00681686"/>
    <w:rsid w:val="006B6300"/>
    <w:rsid w:val="00702B23"/>
    <w:rsid w:val="00706872"/>
    <w:rsid w:val="0075657E"/>
    <w:rsid w:val="00765D55"/>
    <w:rsid w:val="007872B4"/>
    <w:rsid w:val="00795E02"/>
    <w:rsid w:val="007F41FE"/>
    <w:rsid w:val="007F51E4"/>
    <w:rsid w:val="00835EF5"/>
    <w:rsid w:val="00856131"/>
    <w:rsid w:val="008A4870"/>
    <w:rsid w:val="008A6C2F"/>
    <w:rsid w:val="008C7ADB"/>
    <w:rsid w:val="008D1815"/>
    <w:rsid w:val="009071EE"/>
    <w:rsid w:val="009137DC"/>
    <w:rsid w:val="00915A8F"/>
    <w:rsid w:val="009253BD"/>
    <w:rsid w:val="0094370A"/>
    <w:rsid w:val="009610A5"/>
    <w:rsid w:val="00970608"/>
    <w:rsid w:val="009A5CDA"/>
    <w:rsid w:val="009B11AD"/>
    <w:rsid w:val="009B4AAF"/>
    <w:rsid w:val="009B7DC9"/>
    <w:rsid w:val="009E6BA4"/>
    <w:rsid w:val="00A11232"/>
    <w:rsid w:val="00A1131A"/>
    <w:rsid w:val="00A4388E"/>
    <w:rsid w:val="00A73710"/>
    <w:rsid w:val="00A822F7"/>
    <w:rsid w:val="00A8408B"/>
    <w:rsid w:val="00AC7A94"/>
    <w:rsid w:val="00B301A0"/>
    <w:rsid w:val="00B350F9"/>
    <w:rsid w:val="00B81833"/>
    <w:rsid w:val="00BB181B"/>
    <w:rsid w:val="00BC5CD7"/>
    <w:rsid w:val="00BE13CD"/>
    <w:rsid w:val="00BF76DA"/>
    <w:rsid w:val="00C076C5"/>
    <w:rsid w:val="00C1789E"/>
    <w:rsid w:val="00C44653"/>
    <w:rsid w:val="00C8132D"/>
    <w:rsid w:val="00D156BC"/>
    <w:rsid w:val="00D81BB5"/>
    <w:rsid w:val="00D84CE5"/>
    <w:rsid w:val="00E77189"/>
    <w:rsid w:val="00E835D1"/>
    <w:rsid w:val="00E90742"/>
    <w:rsid w:val="00E92BF5"/>
    <w:rsid w:val="00EA7E45"/>
    <w:rsid w:val="00ED0B0B"/>
    <w:rsid w:val="00EE23D8"/>
    <w:rsid w:val="00F224AF"/>
    <w:rsid w:val="00F65EDD"/>
    <w:rsid w:val="00F66384"/>
    <w:rsid w:val="00F96393"/>
    <w:rsid w:val="00FA70D7"/>
    <w:rsid w:val="00FB1EB5"/>
    <w:rsid w:val="00FD3F09"/>
    <w:rsid w:val="00FE4DFC"/>
    <w:rsid w:val="01654491"/>
    <w:rsid w:val="04645239"/>
    <w:rsid w:val="051B6C9D"/>
    <w:rsid w:val="0CA78F1C"/>
    <w:rsid w:val="0F9C67B8"/>
    <w:rsid w:val="143423DB"/>
    <w:rsid w:val="15B63BAF"/>
    <w:rsid w:val="166D4A1B"/>
    <w:rsid w:val="19808140"/>
    <w:rsid w:val="1A2D90AC"/>
    <w:rsid w:val="1B97ADFE"/>
    <w:rsid w:val="1BACB661"/>
    <w:rsid w:val="1C4C3DEA"/>
    <w:rsid w:val="1D9E9D01"/>
    <w:rsid w:val="219055A6"/>
    <w:rsid w:val="225C86F8"/>
    <w:rsid w:val="239D3364"/>
    <w:rsid w:val="23A85BC6"/>
    <w:rsid w:val="2539AB40"/>
    <w:rsid w:val="269E4BE1"/>
    <w:rsid w:val="2711A4AA"/>
    <w:rsid w:val="292422F4"/>
    <w:rsid w:val="29B71E67"/>
    <w:rsid w:val="29CA8CCF"/>
    <w:rsid w:val="29F39622"/>
    <w:rsid w:val="2A36ACA4"/>
    <w:rsid w:val="2A62B200"/>
    <w:rsid w:val="36066FB8"/>
    <w:rsid w:val="37F9C0C8"/>
    <w:rsid w:val="3A9E7540"/>
    <w:rsid w:val="43A98CAD"/>
    <w:rsid w:val="43EA1692"/>
    <w:rsid w:val="44C54B7B"/>
    <w:rsid w:val="478F274A"/>
    <w:rsid w:val="48039ACC"/>
    <w:rsid w:val="492AC0E8"/>
    <w:rsid w:val="4AF83744"/>
    <w:rsid w:val="4BF066A2"/>
    <w:rsid w:val="4E8D4B81"/>
    <w:rsid w:val="51498117"/>
    <w:rsid w:val="53A552F5"/>
    <w:rsid w:val="53EA54EC"/>
    <w:rsid w:val="55F7C8E5"/>
    <w:rsid w:val="576F57A6"/>
    <w:rsid w:val="579BE6A5"/>
    <w:rsid w:val="57EDEF5D"/>
    <w:rsid w:val="58EEB9AB"/>
    <w:rsid w:val="59E983FD"/>
    <w:rsid w:val="5A2E98D9"/>
    <w:rsid w:val="5D22AF95"/>
    <w:rsid w:val="5E13CB2A"/>
    <w:rsid w:val="64A621B6"/>
    <w:rsid w:val="690DDD7F"/>
    <w:rsid w:val="6BF166B9"/>
    <w:rsid w:val="7050BDA9"/>
    <w:rsid w:val="71784B76"/>
    <w:rsid w:val="7260B8A8"/>
    <w:rsid w:val="7621942E"/>
    <w:rsid w:val="7A55709A"/>
    <w:rsid w:val="7A9566F0"/>
    <w:rsid w:val="7BDF1AF9"/>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0446"/>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06395"/>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eop" w:customStyle="1">
    <w:name w:val="eop"/>
    <w:basedOn w:val="DefaultParagraphFont"/>
    <w:rsid w:val="00506395"/>
  </w:style>
  <w:style w:type="character" w:styleId="normaltextrun" w:customStyle="1">
    <w:name w:val="normaltextrun"/>
    <w:basedOn w:val="DefaultParagraphFont"/>
    <w:rsid w:val="00506395"/>
  </w:style>
  <w:style w:type="character" w:styleId="tabchar" w:customStyle="1">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lang w:val="en-US"/>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styleId="CommentTextChar" w:customStyle="1">
    <w:name w:val="Comment Text Char"/>
    <w:basedOn w:val="DefaultParagraphFont"/>
    <w:link w:val="CommentText"/>
    <w:uiPriority w:val="99"/>
    <w:rsid w:val="004D13EB"/>
    <w:rPr>
      <w:color w:val="22294D"/>
      <w:sz w:val="20"/>
      <w:szCs w:val="20"/>
      <w:lang w:val="en-US"/>
    </w:rPr>
  </w:style>
  <w:style w:type="paragraph" w:styleId="CommentSubject">
    <w:name w:val="annotation subject"/>
    <w:basedOn w:val="CommentText"/>
    <w:next w:val="CommentText"/>
    <w:link w:val="CommentSubjectChar"/>
    <w:uiPriority w:val="99"/>
    <w:semiHidden/>
    <w:unhideWhenUsed/>
    <w:rsid w:val="004D13EB"/>
    <w:rPr>
      <w:b/>
      <w:bCs/>
    </w:rPr>
  </w:style>
  <w:style w:type="character" w:styleId="CommentSubjectChar" w:customStyle="1">
    <w:name w:val="Comment Subject Char"/>
    <w:basedOn w:val="CommentTextChar"/>
    <w:link w:val="CommentSubject"/>
    <w:uiPriority w:val="99"/>
    <w:semiHidden/>
    <w:rsid w:val="004D13EB"/>
    <w:rPr>
      <w:b/>
      <w:bCs/>
      <w:color w:val="22294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fsa.europa.e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de/safe2ea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D23DA-379B-4B1C-A33C-D03E944D0EAF}"/>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AFA0415B-EFDC-4F3D-9A18-0D25E396FF0B}">
  <ds:schemaRefs>
    <ds:schemaRef ds:uri="http://purl.org/dc/dcmitype/"/>
    <ds:schemaRef ds:uri="http://schemas.openxmlformats.org/package/2006/metadata/core-properties"/>
    <ds:schemaRef ds:uri="http://purl.org/dc/elements/1.1/"/>
    <ds:schemaRef ds:uri="http://purl.org/dc/terms/"/>
    <ds:schemaRef ds:uri="24a01684-1a2a-406c-9800-227e6ea0d198"/>
    <ds:schemaRef ds:uri="http://schemas.microsoft.com/office/2006/documentManagement/types"/>
    <ds:schemaRef ds:uri="http://schemas.microsoft.com/office/2006/metadata/properties"/>
    <ds:schemaRef ds:uri="b46b0888-3a4a-41d6-b186-0947ac4cbdb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GARCIA GOMEZ Matilde</ap:Manager>
  <ap:Company>European Food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creator>GARCIA GOMEZ Matilde</dc:creator>
  <lastModifiedBy>Barabucci, Claudia</lastModifiedBy>
  <revision>5</revision>
  <dcterms:created xsi:type="dcterms:W3CDTF">2025-03-06T13:11:00.0000000Z</dcterms:created>
  <dcterms:modified xsi:type="dcterms:W3CDTF">2025-04-09T16:23:58.9203479Z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