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913" w:rsidP="008C1913" w:rsidRDefault="008C1913" w14:paraId="34201EA2"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bookmarkStart w:name="_GoBack" w:id="0"/>
      <w:bookmarkEnd w:id="0"/>
    </w:p>
    <w:p w:rsidR="008C1913" w:rsidP="008C1913" w:rsidRDefault="008C1913" w14:paraId="4F43EE7D"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000D09ED" w:rsidP="008C1913" w:rsidRDefault="000D09ED" w14:paraId="7C210FBE"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rsidRPr="00FB5B2C" w:rsidR="008C1913" w:rsidP="008C1913" w:rsidRDefault="00F4214B" w14:paraId="1B65E02A" w14:textId="77777777">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b/>
          <w:bCs/>
          <w:color w:val="1A4489"/>
          <w:sz w:val="36"/>
          <w:szCs w:val="36"/>
          <w:lang w:val="el"/>
        </w:rPr>
        <w:t>Αξιόπιστα επιστημονικά στοιχεία για ασφαλή τρόφιμα στην Ευρώπη </w:t>
      </w:r>
      <w:r>
        <w:rPr>
          <w:rStyle w:val="eop"/>
          <w:rFonts w:ascii="Calibri" w:hAnsi="Calibri" w:cs="Calibri"/>
          <w:color w:val="1A4489"/>
          <w:sz w:val="36"/>
          <w:szCs w:val="36"/>
          <w:lang w:val="el"/>
        </w:rPr>
        <w:t> </w:t>
      </w:r>
    </w:p>
    <w:p w:rsidRPr="00FB5B2C" w:rsidR="00351ECF" w:rsidP="00351ECF" w:rsidRDefault="00F4214B" w14:paraId="2E5573B7" w14:textId="32DD4DF5">
      <w:pPr>
        <w:pStyle w:val="paragraph"/>
        <w:spacing w:before="0" w:beforeAutospacing="0" w:after="0" w:afterAutospacing="0"/>
        <w:jc w:val="both"/>
        <w:textAlignment w:val="baseline"/>
        <w:rPr>
          <w:rStyle w:val="eop"/>
          <w:rFonts w:ascii="Calibri" w:hAnsi="Calibri" w:cs="Calibri"/>
          <w:color w:val="000000"/>
          <w:lang w:val="el-GR"/>
        </w:rPr>
      </w:pPr>
      <w:r>
        <w:rPr>
          <w:rStyle w:val="scxw95617525"/>
          <w:rFonts w:ascii="Calibri" w:hAnsi="Calibri" w:cs="Calibri"/>
          <w:sz w:val="20"/>
          <w:szCs w:val="20"/>
          <w:lang w:val="el"/>
        </w:rPr>
        <w:t> </w:t>
      </w:r>
      <w:r>
        <w:rPr>
          <w:lang w:val="el"/>
        </w:rPr>
        <w:br/>
      </w:r>
      <w:r>
        <w:rPr>
          <w:rStyle w:val="normaltextrun"/>
          <w:rFonts w:ascii="Calibri" w:hAnsi="Calibri" w:cs="Calibri"/>
          <w:color w:val="000000" w:themeColor="text1"/>
          <w:lang w:val="el"/>
        </w:rPr>
        <w:t xml:space="preserve">Η ΕΕ διαθέτει ένα από τα πιο αυστηρά συστήματα ασφάλειας τροφίμων παγκοσμίως. Αυτό το σύστημα, που στηρίζεται στα πιο πρόσφατα επιστημονικά στοιχεία, περιλαμβάνει τη στενή συνεργασία </w:t>
      </w:r>
      <w:r>
        <w:rPr>
          <w:rStyle w:val="normaltextrun"/>
          <w:rFonts w:ascii="Calibri" w:hAnsi="Calibri" w:cs="Calibri"/>
          <w:color w:val="000000" w:themeColor="text1"/>
          <w:lang w:val="el"/>
        </w:rPr>
        <w:t>μεταξύ της Ευρωπαϊκής Αρχής για την Ασφάλεια των Τροφίμων (EFSA) και των εθνικών αρχών για την ασφάλεια των τροφίμων από όλη την Ευρώπη, οι οποίες διαδραματίζουν έναν κεντρικό ρόλο.</w:t>
      </w:r>
    </w:p>
    <w:p w:rsidRPr="00FB5B2C" w:rsidR="008C1913" w:rsidP="008C1913" w:rsidRDefault="008C1913" w14:paraId="1F44FFC3"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8C1913" w14:paraId="35148BDF"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F4214B" w14:paraId="7046AE0B" w14:textId="705A89B3">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color w:val="000000" w:themeColor="text1"/>
          <w:lang w:val="el"/>
        </w:rPr>
        <w:t>Κορυφαίοι επιστήμονες από όλη την ΕΕ προβαίνουν σε αξιολογήσεις και δίνο</w:t>
      </w:r>
      <w:r>
        <w:rPr>
          <w:rStyle w:val="normaltextrun"/>
          <w:rFonts w:ascii="Calibri" w:hAnsi="Calibri" w:cs="Calibri"/>
          <w:color w:val="000000" w:themeColor="text1"/>
          <w:lang w:val="el"/>
        </w:rPr>
        <w:t xml:space="preserve">υν συμβουλές σχετικά με την ασφάλεια των τροφίμων και τη διατροφή, σε στενή συνεργασία με εθνικούς και διεθνείς εταίρους, παραγωγούς, οργανώσεις καταναλωτών και ομάδες της κοινωνίας των πολιτών. Μαζί, </w:t>
      </w:r>
      <w:r w:rsidRPr="001A3239" w:rsidR="00FB5B2C">
        <w:rPr>
          <w:rStyle w:val="normaltextrun"/>
          <w:rFonts w:ascii="Calibri" w:hAnsi="Calibri" w:cs="Calibri"/>
          <w:color w:val="000000" w:themeColor="text1"/>
          <w:lang w:val="el"/>
        </w:rPr>
        <w:t>αξιοποιούν</w:t>
      </w:r>
      <w:r w:rsidR="00FB5B2C">
        <w:rPr>
          <w:rStyle w:val="normaltextrun"/>
          <w:rFonts w:ascii="Calibri" w:hAnsi="Calibri" w:cs="Calibri"/>
          <w:color w:val="000000" w:themeColor="text1"/>
          <w:lang w:val="el"/>
        </w:rPr>
        <w:t xml:space="preserve"> </w:t>
      </w:r>
      <w:r>
        <w:rPr>
          <w:rStyle w:val="normaltextrun"/>
          <w:rFonts w:ascii="Calibri" w:hAnsi="Calibri" w:cs="Calibri"/>
          <w:color w:val="000000" w:themeColor="text1"/>
          <w:lang w:val="el"/>
        </w:rPr>
        <w:t xml:space="preserve">την εμπειρογνωμοσύνη σε </w:t>
      </w:r>
      <w:proofErr w:type="spellStart"/>
      <w:r>
        <w:rPr>
          <w:rStyle w:val="normaltextrun"/>
          <w:rFonts w:ascii="Calibri" w:hAnsi="Calibri" w:cs="Calibri"/>
          <w:color w:val="000000" w:themeColor="text1"/>
          <w:lang w:val="el"/>
        </w:rPr>
        <w:t>ενωσιακό</w:t>
      </w:r>
      <w:proofErr w:type="spellEnd"/>
      <w:r>
        <w:rPr>
          <w:rStyle w:val="normaltextrun"/>
          <w:rFonts w:ascii="Calibri" w:hAnsi="Calibri" w:cs="Calibri"/>
          <w:color w:val="000000" w:themeColor="text1"/>
          <w:lang w:val="el"/>
        </w:rPr>
        <w:t xml:space="preserve"> και εθνικό </w:t>
      </w:r>
      <w:r>
        <w:rPr>
          <w:rStyle w:val="normaltextrun"/>
          <w:rFonts w:ascii="Calibri" w:hAnsi="Calibri" w:cs="Calibri"/>
          <w:color w:val="000000" w:themeColor="text1"/>
          <w:lang w:val="el"/>
        </w:rPr>
        <w:t xml:space="preserve">επίπεδο, διασφαλίζοντας ότι χρησιμοποιούνται τα πιο πρόσφατα στοιχεία και προσεγγίσεις με σκοπό να διασφαλίζεται η ασφάλεια των τροφίμων για τους Ευρωπαίους. </w:t>
      </w:r>
    </w:p>
    <w:p w:rsidRPr="00FB5B2C" w:rsidR="008C1913" w:rsidP="008C1913" w:rsidRDefault="00F4214B" w14:paraId="628FD980" w14:textId="77777777">
      <w:pPr>
        <w:pStyle w:val="paragraph"/>
        <w:spacing w:before="0" w:beforeAutospacing="0" w:after="0" w:afterAutospacing="0"/>
        <w:jc w:val="both"/>
        <w:textAlignment w:val="baseline"/>
        <w:rPr>
          <w:rFonts w:ascii="Calibri" w:hAnsi="Calibri" w:cs="Calibri"/>
          <w:sz w:val="20"/>
          <w:szCs w:val="20"/>
          <w:lang w:val="el-GR"/>
        </w:rPr>
      </w:pPr>
      <w:r>
        <w:rPr>
          <w:rStyle w:val="eop"/>
          <w:rFonts w:ascii="Calibri" w:hAnsi="Calibri" w:cs="Calibri"/>
          <w:color w:val="000000"/>
          <w:lang w:val="el"/>
        </w:rPr>
        <w:t> </w:t>
      </w:r>
    </w:p>
    <w:p w:rsidRPr="00FB5B2C" w:rsidR="008C1913" w:rsidP="00A80FE6" w:rsidRDefault="002E01FE" w14:paraId="4397E6EE" w14:textId="1C368E27">
      <w:pPr>
        <w:spacing w:before="240" w:after="240"/>
        <w:rPr>
          <w:rFonts w:ascii="Calibri" w:hAnsi="Calibri" w:eastAsia="Calibri" w:cs="Calibri"/>
          <w:b/>
          <w:bCs/>
          <w:color w:val="1A4489"/>
          <w:sz w:val="36"/>
          <w:szCs w:val="36"/>
          <w:lang w:val="el-GR"/>
        </w:rPr>
      </w:pPr>
      <w:r w:rsidRPr="002E01FE">
        <w:rPr>
          <w:rFonts w:ascii="Calibri" w:hAnsi="Calibri" w:eastAsia="Calibri" w:cs="Calibri"/>
          <w:b/>
          <w:bCs/>
          <w:color w:val="1A4489"/>
          <w:sz w:val="36"/>
          <w:szCs w:val="36"/>
          <w:lang w:val="el"/>
        </w:rPr>
        <w:t>Safe2Eat: Ενημερωμένες επιλογές, ασφαλέστερο φαγητό</w:t>
      </w:r>
    </w:p>
    <w:p w:rsidRPr="00475D6D" w:rsidR="00475D6D" w:rsidP="00475D6D" w:rsidRDefault="00475D6D" w14:paraId="087988E5" w14:textId="77777777">
      <w:pPr>
        <w:pStyle w:val="paragraph"/>
        <w:spacing w:after="0"/>
        <w:jc w:val="both"/>
        <w:rPr>
          <w:rStyle w:val="eop"/>
          <w:rFonts w:ascii="Calibri" w:hAnsi="Calibri" w:cs="Calibri"/>
          <w:color w:val="000000" w:themeColor="text1"/>
          <w:lang w:val="el-GR"/>
        </w:rPr>
      </w:pPr>
      <w:r w:rsidRPr="00475D6D">
        <w:rPr>
          <w:rStyle w:val="eop"/>
          <w:rFonts w:ascii="Calibri" w:hAnsi="Calibri" w:cs="Calibri"/>
          <w:color w:val="000000" w:themeColor="text1"/>
          <w:lang w:val="el-GR"/>
        </w:rPr>
        <w:t xml:space="preserve">Κάθε μέρα, οι καταναλωτές κάνουν αμέτρητες επιλογές τροφίμων και οι παράγοντες που επηρεάζουν αυτές τις επιλογές μπορεί να διαφέρουν από καταναλωτή σε καταναλωτή. Μια έρευνα της </w:t>
      </w:r>
      <w:proofErr w:type="spellStart"/>
      <w:r w:rsidRPr="00475D6D">
        <w:rPr>
          <w:rStyle w:val="eop"/>
          <w:rFonts w:ascii="Calibri" w:hAnsi="Calibri" w:cs="Calibri"/>
          <w:color w:val="000000" w:themeColor="text1"/>
          <w:lang w:val="el-GR"/>
        </w:rPr>
        <w:t>Ipsos</w:t>
      </w:r>
      <w:proofErr w:type="spellEnd"/>
      <w:r w:rsidRPr="00475D6D">
        <w:rPr>
          <w:rStyle w:val="eop"/>
          <w:rFonts w:ascii="Calibri" w:hAnsi="Calibri" w:cs="Calibri"/>
          <w:color w:val="000000" w:themeColor="text1"/>
          <w:lang w:val="el-GR"/>
        </w:rPr>
        <w:t xml:space="preserve"> του 2024 που αξιολόγησε τον αντίκτυπο της εκστρατείας Safe2Eat-2024 κατέδειξε ότι ενώ η γεύση, το κόστος και η διάρκεια ζωής των τροφίμων παραμένουν οι μεγαλύτερες προτεραιότητες, η ασφάλεια των τροφίμων είναι όλο και περισσότερο στο μυαλό των καταναλωτών - ειδικά μεταξύ εκείνων που ενημερώθηκαν από την εκστρατεία. Στην πραγματικότητα, το 40% όσων αλληλοεπίδρασαν με την Safe2Eat ανέφεραν ότι λαμβάνουν ενεργά υπόψιν την ασφάλεια των τροφίμων όταν αγοράζουν τρόφιμα, σε σύγκριση με το 35% του γενικού πληθυσμού. Η έρευνα ανέδειξε επίσης μεταβαλλόμενες τάσεις, με καθοριστικό παράγοντα το αυξανόμενο ενδιαφέρον προς τα ελάχιστα επεξεργασμένα τρόφιμα και μια σταδιακή μείωση του παράγοντα κόστους ως παράγοντα απόφασης για την αγορά τροφίμων.</w:t>
      </w:r>
    </w:p>
    <w:p w:rsidRPr="00475D6D" w:rsidR="00475D6D" w:rsidP="00475D6D" w:rsidRDefault="00475D6D" w14:paraId="39857A61" w14:textId="77777777">
      <w:pPr>
        <w:pStyle w:val="paragraph"/>
        <w:spacing w:after="0"/>
        <w:jc w:val="both"/>
        <w:rPr>
          <w:rStyle w:val="eop"/>
          <w:rFonts w:ascii="Calibri" w:hAnsi="Calibri" w:cs="Calibri"/>
          <w:color w:val="000000" w:themeColor="text1"/>
          <w:lang w:val="el-GR"/>
        </w:rPr>
      </w:pPr>
      <w:r w:rsidRPr="00475D6D">
        <w:rPr>
          <w:rStyle w:val="eop"/>
          <w:rFonts w:ascii="Calibri" w:hAnsi="Calibri" w:cs="Calibri"/>
          <w:color w:val="000000" w:themeColor="text1"/>
          <w:lang w:val="el-GR"/>
        </w:rPr>
        <w:t>Ανεξάρτητα από τους παράγοντες που επηρεάζουν τις αποφάσεις στην αγορά και κατανάλωση τροφίμων, οι ευρωπαίοι πολίτες μπορούν να είναι βέβαιοι ότι, ό,τι κι αν επιλέξουν να φάνε, είναι ασφαλές χάρη στο αυστηρό σύστημα που διέπει την ασφάλεια των τροφίμων.</w:t>
      </w:r>
    </w:p>
    <w:p w:rsidRPr="00FB5B2C" w:rsidR="0E46BC16" w:rsidP="00475D6D" w:rsidRDefault="00475D6D" w14:paraId="07CEF578" w14:textId="50B4B620">
      <w:pPr>
        <w:pStyle w:val="paragraph"/>
        <w:spacing w:before="0" w:beforeAutospacing="0" w:after="0" w:afterAutospacing="0"/>
        <w:jc w:val="both"/>
        <w:rPr>
          <w:rStyle w:val="eop"/>
          <w:rFonts w:ascii="Calibri" w:hAnsi="Calibri" w:cs="Calibri"/>
          <w:color w:val="000000" w:themeColor="text1"/>
          <w:lang w:val="el-GR"/>
        </w:rPr>
      </w:pPr>
      <w:r w:rsidRPr="00475D6D">
        <w:rPr>
          <w:rStyle w:val="eop"/>
          <w:rFonts w:ascii="Calibri" w:hAnsi="Calibri" w:cs="Calibri"/>
          <w:color w:val="000000" w:themeColor="text1"/>
          <w:lang w:val="el-GR"/>
        </w:rPr>
        <w:t xml:space="preserve">Οι ευρωπαίοι καταναλωτές είναι από τους καλύτερα προστατευμένους και καλύτερα ενημερωμένους παγκοσμίως όσον αφορά τα τρόφιμά τους. Επιστήμονες από όλη την ΕΕ εξετάζουν επιστημονικά δεδομένα και μελέτες για την αξιολόγηση των κινδύνων που αφορούν τα τρόφιμα, για την στήριξη των Αρχών που ρυθμίζουν την ασφάλεια των προϊόντων στις αγορές </w:t>
      </w:r>
      <w:r w:rsidRPr="00475D6D">
        <w:rPr>
          <w:rStyle w:val="eop"/>
          <w:rFonts w:ascii="Calibri" w:hAnsi="Calibri" w:cs="Calibri"/>
          <w:color w:val="000000" w:themeColor="text1"/>
          <w:lang w:val="el-GR"/>
        </w:rPr>
        <w:lastRenderedPageBreak/>
        <w:t>και τα καταστήματά μας. Το σύστημα ασφάλειας των τροφίμων της ΕΕ διασφαλίζει ότι κάθε Ευρωπαίος έχει το δικαίωμα να γνωρίζει πώς παράγονται, επεξεργάζονται, συσκευάζονται, επισημαίνονται και πωλούνται τα τρόφιμα που καταναλώνουν.</w:t>
      </w:r>
    </w:p>
    <w:p w:rsidRPr="00FB5B2C" w:rsidR="000D09ED" w:rsidP="00475D6D" w:rsidRDefault="000D09ED" w14:paraId="29ABC1C1" w14:textId="77777777">
      <w:pPr>
        <w:pStyle w:val="paragraph"/>
        <w:spacing w:before="0" w:beforeAutospacing="0" w:after="0" w:afterAutospacing="0"/>
        <w:jc w:val="both"/>
        <w:textAlignment w:val="baseline"/>
        <w:rPr>
          <w:rStyle w:val="normaltextrun"/>
          <w:rFonts w:ascii="Calibri" w:hAnsi="Calibri" w:cs="Calibri"/>
          <w:b/>
          <w:bCs/>
          <w:color w:val="1A4489"/>
          <w:sz w:val="36"/>
          <w:szCs w:val="36"/>
          <w:lang w:val="el-GR"/>
        </w:rPr>
      </w:pPr>
    </w:p>
    <w:p w:rsidRPr="00FB5B2C" w:rsidR="008C1913" w:rsidRDefault="00F4214B" w14:paraId="3D34D5B1" w14:textId="77777777">
      <w:pPr>
        <w:pStyle w:val="paragraph"/>
        <w:spacing w:before="0" w:beforeAutospacing="0" w:after="0" w:afterAutospacing="0"/>
        <w:jc w:val="both"/>
        <w:rPr>
          <w:rStyle w:val="normaltextrun"/>
          <w:rFonts w:ascii="Calibri" w:hAnsi="Calibri" w:cs="Calibri"/>
          <w:b/>
          <w:bCs/>
          <w:color w:val="1A4489"/>
          <w:sz w:val="36"/>
          <w:szCs w:val="36"/>
          <w:lang w:val="el-GR"/>
        </w:rPr>
      </w:pPr>
      <w:r>
        <w:rPr>
          <w:rStyle w:val="normaltextrun"/>
          <w:rFonts w:ascii="Calibri" w:hAnsi="Calibri" w:cs="Calibri"/>
          <w:b/>
          <w:bCs/>
          <w:color w:val="1A4489"/>
          <w:sz w:val="36"/>
          <w:szCs w:val="36"/>
          <w:lang w:val="el"/>
        </w:rPr>
        <w:t>Η εκστρατεία Safe2Eat</w:t>
      </w:r>
    </w:p>
    <w:p w:rsidRPr="00FB5B2C" w:rsidR="000D09ED" w:rsidP="008C1913" w:rsidRDefault="000D09ED" w14:paraId="2EF6B334" w14:textId="77777777">
      <w:pPr>
        <w:pStyle w:val="paragraph"/>
        <w:spacing w:before="0" w:beforeAutospacing="0" w:after="0" w:afterAutospacing="0"/>
        <w:jc w:val="both"/>
        <w:textAlignment w:val="baseline"/>
        <w:rPr>
          <w:rFonts w:ascii="Calibri" w:hAnsi="Calibri" w:cs="Calibri"/>
          <w:color w:val="1A4489"/>
          <w:sz w:val="20"/>
          <w:szCs w:val="20"/>
          <w:lang w:val="el-GR"/>
        </w:rPr>
      </w:pPr>
    </w:p>
    <w:p w:rsidRPr="00FB5B2C" w:rsidR="008C1913" w:rsidP="09DF605F" w:rsidRDefault="00F4214B" w14:paraId="4945ABCE" w14:textId="2DACE0CF">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themeColor="text1"/>
          <w:lang w:val="el"/>
        </w:rPr>
        <w:t xml:space="preserve">Η εκστρατεία Safe2Eat, που παλαιότερα ήταν γνωστή ως #EUChooseSafeFood, η οποία συμπληρώνει φέτος τα πέντε </w:t>
      </w:r>
      <w:proofErr w:type="spellStart"/>
      <w:r>
        <w:rPr>
          <w:rStyle w:val="normaltextrun"/>
          <w:rFonts w:ascii="Calibri" w:hAnsi="Calibri" w:cs="Calibri"/>
          <w:color w:val="000000" w:themeColor="text1"/>
          <w:lang w:val="el"/>
        </w:rPr>
        <w:t>χρ</w:t>
      </w:r>
      <w:proofErr w:type="spellEnd"/>
      <w:r w:rsidR="00EC4937">
        <w:rPr>
          <w:rStyle w:val="normaltextrun"/>
          <w:rFonts w:ascii="Calibri" w:hAnsi="Calibri" w:cs="Calibri"/>
          <w:color w:val="000000" w:themeColor="text1"/>
          <w:lang w:val="el-GR"/>
        </w:rPr>
        <w:t>ό</w:t>
      </w:r>
      <w:r>
        <w:rPr>
          <w:rStyle w:val="normaltextrun"/>
          <w:rFonts w:ascii="Calibri" w:hAnsi="Calibri" w:cs="Calibri"/>
          <w:color w:val="000000" w:themeColor="text1"/>
          <w:lang w:val="el"/>
        </w:rPr>
        <w:t>νι</w:t>
      </w:r>
      <w:r w:rsidR="00EC4937">
        <w:rPr>
          <w:rStyle w:val="normaltextrun"/>
          <w:rFonts w:ascii="Calibri" w:hAnsi="Calibri" w:cs="Calibri"/>
          <w:color w:val="000000" w:themeColor="text1"/>
          <w:lang w:val="el"/>
        </w:rPr>
        <w:t>α</w:t>
      </w:r>
      <w:r>
        <w:rPr>
          <w:rStyle w:val="normaltextrun"/>
          <w:rFonts w:ascii="Calibri" w:hAnsi="Calibri" w:cs="Calibri"/>
          <w:color w:val="000000" w:themeColor="text1"/>
          <w:lang w:val="el"/>
        </w:rPr>
        <w:t xml:space="preserve">, αποσκοπεί στη στήριξη των προσπαθειών ευαισθητοποίησης των προηγούμενων ετών, ώστε οι Ευρωπαίοι να αναπτύξουν κριτική σκέψη και να ενισχυθεί </w:t>
      </w:r>
      <w:r>
        <w:rPr>
          <w:rStyle w:val="normaltextrun"/>
          <w:rFonts w:ascii="Calibri" w:hAnsi="Calibri" w:cs="Calibri"/>
          <w:color w:val="000000" w:themeColor="text1"/>
          <w:lang w:val="el"/>
        </w:rPr>
        <w:t>η ενεργός συμμετοχή τους όσον αφορά την ασφάλεια των τροφίμων.</w:t>
      </w:r>
      <w:r>
        <w:rPr>
          <w:rStyle w:val="eop"/>
          <w:rFonts w:ascii="Calibri" w:hAnsi="Calibri" w:cs="Calibri"/>
          <w:color w:val="000000" w:themeColor="text1"/>
          <w:lang w:val="el"/>
        </w:rPr>
        <w:t> </w:t>
      </w:r>
    </w:p>
    <w:p w:rsidRPr="00FB5B2C" w:rsidR="008C1913" w:rsidP="008C1913" w:rsidRDefault="008C1913" w14:paraId="10DCD67B"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F4214B" w14:paraId="031CDB98" w14:textId="77777777">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lang w:val="el"/>
        </w:rPr>
        <w:t>Η εκστρατεία επικεντρώνεται σε τρεις βασικούς τομείς:</w:t>
      </w:r>
      <w:r>
        <w:rPr>
          <w:rStyle w:val="eop"/>
          <w:rFonts w:ascii="Calibri" w:hAnsi="Calibri" w:cs="Calibri"/>
          <w:color w:val="000000"/>
          <w:lang w:val="el"/>
        </w:rPr>
        <w:t> </w:t>
      </w:r>
    </w:p>
    <w:p w:rsidRPr="00FB5B2C" w:rsidR="008C1913" w:rsidP="008C1913" w:rsidRDefault="008C1913" w14:paraId="0520FE76"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F4214B" w14:paraId="5DCE96BC" w14:textId="01E5C9AC">
      <w:pPr>
        <w:pStyle w:val="paragraph"/>
        <w:numPr>
          <w:ilvl w:val="0"/>
          <w:numId w:val="11"/>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themeColor="text1"/>
          <w:lang w:val="el"/>
        </w:rPr>
        <w:t>Πρακτικές για την ασφάλεια των τροφίμων:</w:t>
      </w:r>
      <w:r>
        <w:rPr>
          <w:rStyle w:val="normaltextrun"/>
          <w:rFonts w:ascii="Calibri" w:hAnsi="Calibri" w:cs="Calibri"/>
          <w:color w:val="000000" w:themeColor="text1"/>
          <w:lang w:val="el"/>
        </w:rPr>
        <w:t xml:space="preserve"> ευρωπαϊκοί, διεθνείς και εθνικοί κανόνες, που βασίζονται σε επιστημονικά στοιχεία, εγγυώνται την ασφάλεια των τροφίμων από το αγρόκτημα στο πιάτο. Παρέχονται συμβουλές για τον ασφαλή χειρισμό των τροφίμων, την αποθήκευση, την ανάγνωση των ετικετών και το </w:t>
      </w:r>
      <w:r>
        <w:rPr>
          <w:rStyle w:val="normaltextrun"/>
          <w:rFonts w:ascii="Calibri" w:hAnsi="Calibri" w:cs="Calibri"/>
          <w:color w:val="000000" w:themeColor="text1"/>
          <w:lang w:val="el"/>
        </w:rPr>
        <w:t>μαγείρεμα, οι οποίες βασίζονται στα πιο πρόσφατα επιστημονικά στοιχεία, ώστε οι καταναλωτές να μπορούν να κάνουν τεκμηριωμένες επιλογές.</w:t>
      </w:r>
    </w:p>
    <w:p w:rsidRPr="00FB5B2C" w:rsidR="008C1913" w:rsidP="008C1913" w:rsidRDefault="00F4214B" w14:paraId="59799F06" w14:textId="67768900">
      <w:pPr>
        <w:pStyle w:val="paragraph"/>
        <w:numPr>
          <w:ilvl w:val="0"/>
          <w:numId w:val="11"/>
        </w:numPr>
        <w:spacing w:before="0" w:beforeAutospacing="0" w:after="0" w:afterAutospacing="0"/>
        <w:jc w:val="both"/>
        <w:textAlignment w:val="baseline"/>
        <w:rPr>
          <w:rFonts w:ascii="Calibri" w:hAnsi="Calibri" w:cs="Calibri"/>
          <w:sz w:val="22"/>
          <w:szCs w:val="22"/>
          <w:lang w:val="el-GR"/>
        </w:rPr>
      </w:pPr>
      <w:r>
        <w:rPr>
          <w:rStyle w:val="normaltextrun"/>
          <w:rFonts w:ascii="Calibri" w:hAnsi="Calibri" w:cs="Calibri"/>
          <w:b/>
          <w:bCs/>
          <w:color w:val="000000" w:themeColor="text1"/>
          <w:lang w:val="el"/>
        </w:rPr>
        <w:t>Τα τρόφιμα και η υγεία σας:</w:t>
      </w:r>
      <w:r>
        <w:rPr>
          <w:rStyle w:val="normaltextrun"/>
          <w:rFonts w:ascii="Calibri" w:hAnsi="Calibri" w:cs="Calibri"/>
          <w:color w:val="000000" w:themeColor="text1"/>
          <w:lang w:val="el"/>
        </w:rPr>
        <w:t xml:space="preserve"> Η ποικιλία τροφίμων στη διατροφή μας, η οποία περιλαμβάνει φρέσκα προϊόντα καθώς και επεξερ</w:t>
      </w:r>
      <w:r>
        <w:rPr>
          <w:rStyle w:val="normaltextrun"/>
          <w:rFonts w:ascii="Calibri" w:hAnsi="Calibri" w:cs="Calibri"/>
          <w:color w:val="000000" w:themeColor="text1"/>
          <w:lang w:val="el"/>
        </w:rPr>
        <w:t>γασμένα τρόφιμα, συμβάλλει σε μια γενικά καλή κατάσταση υγείας. Κάποια άτομα με ιδιαίτερες παθήσεις ενδεχομένως να χρειάζονται ενισχυμένα τρόφιμα ή συμπληρώματα διατροφής, και αυτή η εκστρατεία παρέχει σαφείς πληροφορίες για τις διατροφικές ανάγκες, τους ι</w:t>
      </w:r>
      <w:r>
        <w:rPr>
          <w:rStyle w:val="normaltextrun"/>
          <w:rFonts w:ascii="Calibri" w:hAnsi="Calibri" w:cs="Calibri"/>
          <w:color w:val="000000" w:themeColor="text1"/>
          <w:lang w:val="el"/>
        </w:rPr>
        <w:t xml:space="preserve">σχυρισμούς υγείας και τα επιστημονικά στοιχεία </w:t>
      </w:r>
      <w:r w:rsidRPr="00F410FF">
        <w:rPr>
          <w:rStyle w:val="normaltextrun"/>
          <w:rFonts w:ascii="Calibri" w:hAnsi="Calibri" w:cs="Calibri"/>
          <w:color w:val="000000" w:themeColor="text1"/>
          <w:lang w:val="el"/>
        </w:rPr>
        <w:t>στα οποία αυτ</w:t>
      </w:r>
      <w:r w:rsidRPr="00F410FF" w:rsidR="00F85257">
        <w:rPr>
          <w:rStyle w:val="normaltextrun"/>
          <w:rFonts w:ascii="Calibri" w:hAnsi="Calibri" w:cs="Calibri"/>
          <w:color w:val="000000" w:themeColor="text1"/>
          <w:lang w:val="el"/>
        </w:rPr>
        <w:t>ά</w:t>
      </w:r>
      <w:r w:rsidRPr="00F410FF">
        <w:rPr>
          <w:rStyle w:val="normaltextrun"/>
          <w:rFonts w:ascii="Calibri" w:hAnsi="Calibri" w:cs="Calibri"/>
          <w:color w:val="000000" w:themeColor="text1"/>
          <w:lang w:val="el"/>
        </w:rPr>
        <w:t xml:space="preserve"> βασίζονται</w:t>
      </w:r>
      <w:r>
        <w:rPr>
          <w:rStyle w:val="normaltextrun"/>
          <w:rFonts w:ascii="Calibri" w:hAnsi="Calibri" w:cs="Calibri"/>
          <w:color w:val="000000" w:themeColor="text1"/>
          <w:lang w:val="el"/>
        </w:rPr>
        <w:t>.</w:t>
      </w:r>
    </w:p>
    <w:p w:rsidRPr="00FB5B2C" w:rsidR="008C1913" w:rsidP="008C1913" w:rsidRDefault="00F4214B" w14:paraId="29D699F3" w14:textId="77777777">
      <w:pPr>
        <w:pStyle w:val="paragraph"/>
        <w:numPr>
          <w:ilvl w:val="0"/>
          <w:numId w:val="11"/>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lang w:val="el"/>
        </w:rPr>
        <w:t>Τι περιέχουν τα τρόφιμά σας:</w:t>
      </w:r>
      <w:r>
        <w:rPr>
          <w:rStyle w:val="normaltextrun"/>
          <w:rFonts w:ascii="Calibri" w:hAnsi="Calibri" w:cs="Calibri"/>
          <w:color w:val="000000"/>
          <w:lang w:val="el"/>
        </w:rPr>
        <w:t xml:space="preserve"> Οι ευρωπαϊκοί κανονισμοί εγγυώνται την ασφάλεια των συστατικών των τροφίμων, συμπεριλαμβανομένων των πρόσθετων και των αρωματικών υλών. </w:t>
      </w:r>
      <w:r>
        <w:rPr>
          <w:rStyle w:val="scxw95617525"/>
          <w:rFonts w:ascii="Calibri" w:hAnsi="Calibri" w:cs="Calibri"/>
          <w:color w:val="000000"/>
          <w:lang w:val="el"/>
        </w:rPr>
        <w:t> </w:t>
      </w:r>
    </w:p>
    <w:p w:rsidRPr="00FB5B2C" w:rsidR="008C1913" w:rsidP="008C1913" w:rsidRDefault="00F4214B" w14:paraId="28DCC0EB" w14:textId="3AC48E0F">
      <w:pPr>
        <w:pStyle w:val="paragraph"/>
        <w:spacing w:before="0" w:beforeAutospacing="0" w:after="0" w:afterAutospacing="0"/>
        <w:ind w:left="720"/>
        <w:jc w:val="both"/>
        <w:textAlignment w:val="baseline"/>
        <w:rPr>
          <w:rStyle w:val="eop"/>
          <w:rFonts w:ascii="Calibri" w:hAnsi="Calibri" w:cs="Calibri"/>
          <w:color w:val="000000"/>
          <w:lang w:val="el-GR"/>
        </w:rPr>
      </w:pPr>
      <w:r>
        <w:rPr>
          <w:rStyle w:val="normaltextrun"/>
          <w:rFonts w:ascii="Calibri" w:hAnsi="Calibri" w:cs="Calibri"/>
          <w:color w:val="000000"/>
          <w:lang w:val="el"/>
        </w:rPr>
        <w:t>Η εκστρατεία εσ</w:t>
      </w:r>
      <w:r>
        <w:rPr>
          <w:rStyle w:val="normaltextrun"/>
          <w:rFonts w:ascii="Calibri" w:hAnsi="Calibri" w:cs="Calibri"/>
          <w:color w:val="000000"/>
          <w:lang w:val="el"/>
        </w:rPr>
        <w:t>τιάζεται στην επεξήγηση των λόγων για τους οποίους τα πρόσθετα τροφίμων και τα νέα τρόφιμα είναι ασφαλή. Επιπλέον, τονίζει με ποιο τρόπο τα προϊόντα που περιέχουν τροφικά αλλεργιογόνα πρέπει να επισημαίνονται με σαφήνεια στις ετικέτες. </w:t>
      </w:r>
      <w:r>
        <w:rPr>
          <w:rStyle w:val="eop"/>
          <w:rFonts w:ascii="Calibri" w:hAnsi="Calibri" w:cs="Calibri"/>
          <w:color w:val="000000"/>
          <w:lang w:val="el"/>
        </w:rPr>
        <w:t> </w:t>
      </w:r>
    </w:p>
    <w:p w:rsidRPr="00FB5B2C" w:rsidR="008C1913" w:rsidP="008C1913" w:rsidRDefault="008C1913" w14:paraId="37E1AF58" w14:textId="77777777">
      <w:pPr>
        <w:pStyle w:val="paragraph"/>
        <w:spacing w:before="0" w:beforeAutospacing="0" w:after="0" w:afterAutospacing="0"/>
        <w:ind w:left="720"/>
        <w:jc w:val="both"/>
        <w:textAlignment w:val="baseline"/>
        <w:rPr>
          <w:rFonts w:ascii="Calibri" w:hAnsi="Calibri" w:cs="Calibri"/>
          <w:lang w:val="el-GR"/>
        </w:rPr>
      </w:pPr>
    </w:p>
    <w:p w:rsidRPr="00FB5B2C" w:rsidR="008C1913" w:rsidP="09DF605F" w:rsidRDefault="00F4214B" w14:paraId="681090BE" w14:textId="77777777">
      <w:pPr>
        <w:pStyle w:val="paragraph"/>
        <w:spacing w:before="0" w:beforeAutospacing="0" w:after="0" w:afterAutospacing="0"/>
        <w:jc w:val="both"/>
        <w:textAlignment w:val="baseline"/>
        <w:rPr>
          <w:rFonts w:ascii="Calibri" w:hAnsi="Calibri" w:cs="Calibri"/>
          <w:sz w:val="18"/>
          <w:szCs w:val="18"/>
          <w:lang w:val="el-GR"/>
        </w:rPr>
      </w:pPr>
      <w:r>
        <w:rPr>
          <w:rStyle w:val="normaltextrun"/>
          <w:rFonts w:ascii="Calibri" w:hAnsi="Calibri" w:cs="Calibri"/>
          <w:color w:val="000000" w:themeColor="text1"/>
          <w:lang w:val="el"/>
        </w:rPr>
        <w:t xml:space="preserve">Η εκστρατεία </w:t>
      </w:r>
      <w:r>
        <w:rPr>
          <w:rStyle w:val="normaltextrun"/>
          <w:rFonts w:ascii="Calibri" w:hAnsi="Calibri" w:cs="Calibri"/>
          <w:color w:val="000000" w:themeColor="text1"/>
          <w:lang w:val="el"/>
        </w:rPr>
        <w:t>Safe2Eat στοχεύει να προσεγγίσει το ευρύ κοινό, από άτομα με υψηλό επίπεδο ευαισθητοποίησης που δεν ανησυχούν ιδιαίτερα για την ασφάλεια των τροφίμων μέχρι άτομα που ανησυχούν πολύ και είναι λιγότερο ενημερωμένα. Ως αποτέλεσμα, το ύφος της επικοινωνίας έχε</w:t>
      </w:r>
      <w:r>
        <w:rPr>
          <w:rStyle w:val="normaltextrun"/>
          <w:rFonts w:ascii="Calibri" w:hAnsi="Calibri" w:cs="Calibri"/>
          <w:color w:val="000000" w:themeColor="text1"/>
          <w:lang w:val="el"/>
        </w:rPr>
        <w:t>ι σχεδιαστεί έτσι ώστε να είναι ενημερωτικό και σαφές, διατηρώντας παράλληλα έναν καθησυχαστικό, αισιόδοξο και δυναμικό τόνο.</w:t>
      </w:r>
      <w:r>
        <w:rPr>
          <w:rStyle w:val="eop"/>
          <w:rFonts w:ascii="Calibri" w:hAnsi="Calibri" w:cs="Calibri"/>
          <w:color w:val="000000" w:themeColor="text1"/>
          <w:lang w:val="el"/>
        </w:rPr>
        <w:t> </w:t>
      </w:r>
    </w:p>
    <w:p w:rsidRPr="00FB5B2C" w:rsidR="008C1913" w:rsidP="008C1913" w:rsidRDefault="00F4214B" w14:paraId="5E8DB7B1" w14:textId="77777777">
      <w:pPr>
        <w:pStyle w:val="paragraph"/>
        <w:spacing w:before="0" w:beforeAutospacing="0" w:after="0" w:afterAutospacing="0"/>
        <w:jc w:val="both"/>
        <w:textAlignment w:val="baseline"/>
        <w:rPr>
          <w:rFonts w:ascii="Calibri" w:hAnsi="Calibri" w:cs="Calibri"/>
          <w:sz w:val="20"/>
          <w:szCs w:val="20"/>
          <w:lang w:val="el-GR"/>
        </w:rPr>
      </w:pPr>
      <w:r>
        <w:rPr>
          <w:rStyle w:val="eop"/>
          <w:rFonts w:ascii="Calibri" w:hAnsi="Calibri" w:cs="Calibri"/>
          <w:color w:val="000000"/>
          <w:lang w:val="el"/>
        </w:rPr>
        <w:t> </w:t>
      </w:r>
    </w:p>
    <w:p w:rsidRPr="00FB5B2C" w:rsidR="008C1913" w:rsidP="008C1913" w:rsidRDefault="00F4214B" w14:paraId="7DCCE600" w14:textId="77777777">
      <w:pPr>
        <w:pStyle w:val="paragraph"/>
        <w:spacing w:before="0" w:beforeAutospacing="0" w:after="0" w:afterAutospacing="0"/>
        <w:jc w:val="both"/>
        <w:textAlignment w:val="baseline"/>
        <w:rPr>
          <w:rStyle w:val="eop"/>
          <w:rFonts w:ascii="Calibri" w:hAnsi="Calibri" w:cs="Calibri"/>
          <w:color w:val="1A4489"/>
          <w:sz w:val="36"/>
          <w:szCs w:val="36"/>
          <w:lang w:val="el-GR"/>
        </w:rPr>
      </w:pPr>
      <w:r>
        <w:rPr>
          <w:rStyle w:val="normaltextrun"/>
          <w:rFonts w:ascii="Calibri" w:hAnsi="Calibri" w:cs="Calibri"/>
          <w:b/>
          <w:bCs/>
          <w:color w:val="1A4489"/>
          <w:sz w:val="36"/>
          <w:szCs w:val="36"/>
          <w:lang w:val="el"/>
        </w:rPr>
        <w:t>Πώς να συμμετάσχετε; </w:t>
      </w:r>
      <w:r>
        <w:rPr>
          <w:rStyle w:val="eop"/>
          <w:rFonts w:ascii="Calibri" w:hAnsi="Calibri" w:cs="Calibri"/>
          <w:color w:val="1A4489"/>
          <w:sz w:val="36"/>
          <w:szCs w:val="36"/>
          <w:lang w:val="el"/>
        </w:rPr>
        <w:t> </w:t>
      </w:r>
    </w:p>
    <w:p w:rsidRPr="00FB5B2C" w:rsidR="008C1913" w:rsidP="008C1913" w:rsidRDefault="008C1913" w14:paraId="38A09300" w14:textId="77777777">
      <w:pPr>
        <w:pStyle w:val="paragraph"/>
        <w:spacing w:before="0" w:beforeAutospacing="0" w:after="0" w:afterAutospacing="0"/>
        <w:jc w:val="both"/>
        <w:textAlignment w:val="baseline"/>
        <w:rPr>
          <w:rFonts w:ascii="Calibri" w:hAnsi="Calibri" w:cs="Calibri"/>
          <w:sz w:val="20"/>
          <w:szCs w:val="20"/>
          <w:lang w:val="el-GR"/>
        </w:rPr>
      </w:pPr>
    </w:p>
    <w:p w:rsidRPr="00FB5B2C" w:rsidR="008C1913" w:rsidP="008C1913" w:rsidRDefault="00F4214B" w14:paraId="03342A5D" w14:textId="289F5EFD">
      <w:pPr>
        <w:pStyle w:val="paragraph"/>
        <w:spacing w:before="0" w:beforeAutospacing="0" w:after="0" w:afterAutospacing="0"/>
        <w:jc w:val="both"/>
        <w:textAlignment w:val="baseline"/>
        <w:rPr>
          <w:rStyle w:val="eop"/>
          <w:rFonts w:ascii="Calibri" w:hAnsi="Calibri" w:cs="Calibri"/>
          <w:lang w:val="el-GR"/>
        </w:rPr>
      </w:pPr>
      <w:r>
        <w:rPr>
          <w:rStyle w:val="normaltextrun"/>
          <w:rFonts w:ascii="Calibri" w:hAnsi="Calibri" w:cs="Calibri"/>
          <w:lang w:val="el"/>
        </w:rPr>
        <w:t xml:space="preserve">Υπάρχουν διάφοροι τρόποι συμμετοχής στην εκστρατεία και </w:t>
      </w:r>
      <w:r w:rsidRPr="00F8764A" w:rsidR="00DD286C">
        <w:rPr>
          <w:rStyle w:val="normaltextrun"/>
          <w:rFonts w:ascii="Calibri" w:hAnsi="Calibri" w:cs="Calibri"/>
          <w:lang w:val="el"/>
        </w:rPr>
        <w:t xml:space="preserve">αρκετό </w:t>
      </w:r>
      <w:r w:rsidRPr="00F8764A" w:rsidR="00F8764A">
        <w:rPr>
          <w:rStyle w:val="normaltextrun"/>
          <w:rFonts w:ascii="Calibri" w:hAnsi="Calibri" w:cs="Calibri"/>
          <w:lang w:val="el"/>
        </w:rPr>
        <w:t>από</w:t>
      </w:r>
      <w:r w:rsidRPr="00F8764A" w:rsidR="00DD286C">
        <w:rPr>
          <w:rStyle w:val="normaltextrun"/>
          <w:rFonts w:ascii="Calibri" w:hAnsi="Calibri" w:cs="Calibri"/>
          <w:lang w:val="el"/>
        </w:rPr>
        <w:t xml:space="preserve"> το επικοινωνιακό υλικό</w:t>
      </w:r>
      <w:r w:rsidR="00DD286C">
        <w:rPr>
          <w:rStyle w:val="normaltextrun"/>
          <w:rFonts w:ascii="Calibri" w:hAnsi="Calibri" w:cs="Calibri"/>
          <w:lang w:val="el"/>
        </w:rPr>
        <w:t xml:space="preserve"> </w:t>
      </w:r>
      <w:r>
        <w:rPr>
          <w:rStyle w:val="normaltextrun"/>
          <w:rFonts w:ascii="Calibri" w:hAnsi="Calibri" w:cs="Calibri"/>
          <w:lang w:val="el"/>
        </w:rPr>
        <w:t xml:space="preserve">της </w:t>
      </w:r>
      <w:r>
        <w:rPr>
          <w:rStyle w:val="normaltextrun"/>
          <w:rFonts w:ascii="Calibri" w:hAnsi="Calibri" w:cs="Calibri"/>
          <w:lang w:val="el"/>
        </w:rPr>
        <w:t>εκστρατείας διατίθεται σε πολλές γλώσσες της ΕΕ: </w:t>
      </w:r>
      <w:r>
        <w:rPr>
          <w:rStyle w:val="eop"/>
          <w:rFonts w:ascii="Calibri" w:hAnsi="Calibri" w:cs="Calibri"/>
          <w:lang w:val="el"/>
        </w:rPr>
        <w:t> </w:t>
      </w:r>
    </w:p>
    <w:p w:rsidRPr="00FB5B2C" w:rsidR="008C1913" w:rsidP="008C1913" w:rsidRDefault="008C1913" w14:paraId="0349F094"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F4214B" w14:paraId="469F197C" w14:textId="77777777">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lang w:val="el"/>
        </w:rPr>
        <w:t xml:space="preserve">Κοινοποιήστε το δωρεάν υλικό μας από την εργαλειοθήκη στο δίκτυό σας και βοηθήστε τους Ευρωπαίους να μάθουν ότι, ανεξάρτητα από τον τρόπο που επιλέγουν τα τρόφιμά τους, μπορούν να νιώθουν σίγουροι ότι τα </w:t>
      </w:r>
      <w:r>
        <w:rPr>
          <w:rStyle w:val="normaltextrun"/>
          <w:rFonts w:ascii="Calibri" w:hAnsi="Calibri" w:cs="Calibri"/>
          <w:color w:val="000000"/>
          <w:lang w:val="el"/>
        </w:rPr>
        <w:t>τρόφιμα είναι ασφαλή προς κατανάλωση.</w:t>
      </w:r>
      <w:r>
        <w:rPr>
          <w:rStyle w:val="eop"/>
          <w:rFonts w:ascii="Calibri" w:hAnsi="Calibri" w:cs="Calibri"/>
          <w:color w:val="000000"/>
          <w:lang w:val="el"/>
        </w:rPr>
        <w:t> </w:t>
      </w:r>
    </w:p>
    <w:p w:rsidRPr="00FB5B2C" w:rsidR="008C1913" w:rsidP="0AB0F026" w:rsidRDefault="00F4214B" w14:paraId="60A191F7" w14:textId="77777777">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 xml:space="preserve">Επισκεφθείτε τον δικτυακό τόπο της εκστρατείας, όπου μπορείτε να βρείτε πρακτικές συμβουλές για τις επιλογές τροφίμων και ενημερώστε τους καταναλωτές για τα επιστημονικά στοιχεία που συμβάλλουν στο να διατηρούνται τα </w:t>
      </w:r>
      <w:r>
        <w:rPr>
          <w:rStyle w:val="normaltextrun"/>
          <w:rFonts w:ascii="Calibri" w:hAnsi="Calibri" w:cs="Calibri"/>
          <w:color w:val="000000" w:themeColor="text1"/>
          <w:lang w:val="el"/>
        </w:rPr>
        <w:t>τρόφιμά μας ασφαλή προς κατανάλωση.</w:t>
      </w:r>
      <w:r>
        <w:rPr>
          <w:rStyle w:val="eop"/>
          <w:rFonts w:ascii="Calibri" w:hAnsi="Calibri" w:cs="Calibri"/>
          <w:color w:val="000000" w:themeColor="text1"/>
          <w:lang w:val="el"/>
        </w:rPr>
        <w:t> </w:t>
      </w:r>
    </w:p>
    <w:p w:rsidRPr="00FB5B2C" w:rsidR="008C1913" w:rsidP="1B40F9EC" w:rsidRDefault="00F4214B" w14:paraId="3169A6D2" w14:textId="6588A769">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 xml:space="preserve">Μείνετε </w:t>
      </w:r>
      <w:r w:rsidRPr="00C745FA">
        <w:rPr>
          <w:rStyle w:val="normaltextrun"/>
          <w:rFonts w:ascii="Calibri" w:hAnsi="Calibri" w:cs="Calibri"/>
          <w:color w:val="000000" w:themeColor="text1"/>
          <w:lang w:val="el"/>
        </w:rPr>
        <w:t>συνδεδεμένοι</w:t>
      </w:r>
      <w:r w:rsidRPr="00C745FA" w:rsidR="00D72B3E">
        <w:rPr>
          <w:rStyle w:val="normaltextrun"/>
          <w:rFonts w:ascii="Calibri" w:hAnsi="Calibri" w:cs="Calibri"/>
          <w:color w:val="000000" w:themeColor="text1"/>
          <w:lang w:val="el-GR"/>
        </w:rPr>
        <w:t>.</w:t>
      </w:r>
      <w:r w:rsidRPr="00D72B3E" w:rsidR="00D72B3E">
        <w:rPr>
          <w:rStyle w:val="normaltextrun"/>
          <w:rFonts w:ascii="Calibri" w:hAnsi="Calibri" w:cs="Calibri"/>
          <w:color w:val="000000" w:themeColor="text1"/>
          <w:lang w:val="el-GR"/>
        </w:rPr>
        <w:t xml:space="preserve"> </w:t>
      </w:r>
      <w:r>
        <w:rPr>
          <w:rStyle w:val="normaltextrun"/>
          <w:rFonts w:ascii="Calibri" w:hAnsi="Calibri" w:cs="Calibri"/>
          <w:color w:val="000000" w:themeColor="text1"/>
          <w:lang w:val="el"/>
        </w:rPr>
        <w:t xml:space="preserve">Ακολουθήστε την EFSA στο LinkedIn, στο </w:t>
      </w:r>
      <w:proofErr w:type="spellStart"/>
      <w:r>
        <w:rPr>
          <w:rStyle w:val="normaltextrun"/>
          <w:rFonts w:ascii="Calibri" w:hAnsi="Calibri" w:cs="Calibri"/>
          <w:color w:val="000000" w:themeColor="text1"/>
          <w:lang w:val="el"/>
        </w:rPr>
        <w:t>Instagram</w:t>
      </w:r>
      <w:proofErr w:type="spellEnd"/>
      <w:r>
        <w:rPr>
          <w:rStyle w:val="normaltextrun"/>
          <w:rFonts w:ascii="Calibri" w:hAnsi="Calibri" w:cs="Calibri"/>
          <w:color w:val="000000" w:themeColor="text1"/>
          <w:lang w:val="el"/>
        </w:rPr>
        <w:t xml:space="preserve"> και στο </w:t>
      </w:r>
      <w:proofErr w:type="spellStart"/>
      <w:r>
        <w:rPr>
          <w:rStyle w:val="normaltextrun"/>
          <w:rFonts w:ascii="Calibri" w:hAnsi="Calibri" w:cs="Calibri"/>
          <w:color w:val="000000" w:themeColor="text1"/>
          <w:lang w:val="el"/>
        </w:rPr>
        <w:t>YouTube</w:t>
      </w:r>
      <w:proofErr w:type="spellEnd"/>
      <w:r>
        <w:rPr>
          <w:rStyle w:val="normaltextrun"/>
          <w:rFonts w:ascii="Calibri" w:hAnsi="Calibri" w:cs="Calibri"/>
          <w:color w:val="000000" w:themeColor="text1"/>
          <w:lang w:val="el"/>
        </w:rPr>
        <w:t>, και κοινοποιήστε τα τελευταία νέα της εκστρατείας στο δίκτυό σας. </w:t>
      </w:r>
      <w:r>
        <w:rPr>
          <w:rStyle w:val="eop"/>
          <w:rFonts w:ascii="Calibri" w:hAnsi="Calibri" w:cs="Calibri"/>
          <w:color w:val="000000" w:themeColor="text1"/>
          <w:lang w:val="el"/>
        </w:rPr>
        <w:t> </w:t>
      </w:r>
    </w:p>
    <w:p w:rsidRPr="00FB5B2C" w:rsidR="008C1913" w:rsidP="0AB0F026" w:rsidRDefault="00F4214B" w14:paraId="3D3183F5" w14:textId="77777777">
      <w:pPr>
        <w:pStyle w:val="paragraph"/>
        <w:numPr>
          <w:ilvl w:val="0"/>
          <w:numId w:val="12"/>
        </w:numPr>
        <w:spacing w:before="0" w:beforeAutospacing="0" w:after="0" w:afterAutospacing="0"/>
        <w:jc w:val="both"/>
        <w:textAlignment w:val="baseline"/>
        <w:rPr>
          <w:rFonts w:ascii="Calibri" w:hAnsi="Calibri" w:cs="Calibri"/>
          <w:lang w:val="el-GR"/>
        </w:rPr>
      </w:pPr>
      <w:r>
        <w:rPr>
          <w:rStyle w:val="normaltextrun"/>
          <w:rFonts w:ascii="Calibri" w:hAnsi="Calibri" w:cs="Calibri"/>
          <w:color w:val="000000" w:themeColor="text1"/>
          <w:lang w:val="el"/>
        </w:rPr>
        <w:t xml:space="preserve">Διαδώστε τις από κοινού προσπάθειές μας για ασφαλή τρόφιμα και </w:t>
      </w:r>
      <w:r>
        <w:rPr>
          <w:rStyle w:val="normaltextrun"/>
          <w:rFonts w:ascii="Calibri" w:hAnsi="Calibri" w:cs="Calibri"/>
          <w:color w:val="000000" w:themeColor="text1"/>
          <w:lang w:val="el"/>
        </w:rPr>
        <w:t xml:space="preserve">τα επιστημονικά στοιχεία στα οποία αυτές βασίζονται, χρησιμοποιώντας το </w:t>
      </w:r>
      <w:proofErr w:type="spellStart"/>
      <w:r>
        <w:rPr>
          <w:rStyle w:val="normaltextrun"/>
          <w:rFonts w:ascii="Calibri" w:hAnsi="Calibri" w:cs="Calibri"/>
          <w:color w:val="000000" w:themeColor="text1"/>
          <w:lang w:val="el"/>
        </w:rPr>
        <w:t>hashtag</w:t>
      </w:r>
      <w:proofErr w:type="spellEnd"/>
      <w:r>
        <w:rPr>
          <w:rStyle w:val="normaltextrun"/>
          <w:rFonts w:ascii="Calibri" w:hAnsi="Calibri" w:cs="Calibri"/>
          <w:color w:val="000000" w:themeColor="text1"/>
          <w:lang w:val="el"/>
        </w:rPr>
        <w:t xml:space="preserve"> της εκστρατείας #Safe2EatEU, ώστε να συμμετάσχετε και να προωθήσετε τις διάφορες δράσεις που πρόκειται να πραγματοποιηθούν.</w:t>
      </w:r>
      <w:r>
        <w:rPr>
          <w:rStyle w:val="eop"/>
          <w:rFonts w:ascii="Calibri" w:hAnsi="Calibri" w:cs="Calibri"/>
          <w:color w:val="000000" w:themeColor="text1"/>
          <w:lang w:val="el"/>
        </w:rPr>
        <w:t> </w:t>
      </w:r>
    </w:p>
    <w:p w:rsidRPr="00FB5B2C" w:rsidR="008C1913" w:rsidP="008C1913" w:rsidRDefault="00F4214B" w14:paraId="2FA0144A" w14:textId="77777777">
      <w:pPr>
        <w:pStyle w:val="paragraph"/>
        <w:spacing w:before="0" w:beforeAutospacing="0" w:after="0" w:afterAutospacing="0"/>
        <w:ind w:left="360"/>
        <w:jc w:val="both"/>
        <w:textAlignment w:val="baseline"/>
        <w:rPr>
          <w:rFonts w:ascii="Calibri" w:hAnsi="Calibri" w:cs="Calibri"/>
          <w:sz w:val="18"/>
          <w:szCs w:val="18"/>
          <w:lang w:val="el-GR"/>
        </w:rPr>
      </w:pPr>
      <w:r>
        <w:rPr>
          <w:rStyle w:val="eop"/>
          <w:rFonts w:ascii="Calibri" w:hAnsi="Calibri" w:cs="Calibri"/>
          <w:color w:val="000000"/>
          <w:lang w:val="el"/>
        </w:rPr>
        <w:t> </w:t>
      </w:r>
    </w:p>
    <w:p w:rsidRPr="00FB5B2C" w:rsidR="008C1913" w:rsidP="008C1913" w:rsidRDefault="00F4214B" w14:paraId="2B371CE5" w14:textId="77777777">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el-GR"/>
        </w:rPr>
      </w:pPr>
      <w:r>
        <w:rPr>
          <w:rStyle w:val="normaltextrun"/>
          <w:rFonts w:ascii="Calibri" w:hAnsi="Calibri" w:cs="Calibri"/>
          <w:b/>
          <w:bCs/>
          <w:color w:val="1A4489"/>
          <w:sz w:val="36"/>
          <w:szCs w:val="36"/>
          <w:lang w:val="el"/>
        </w:rPr>
        <w:t>Εργαλειοθήκη εκστρατείας </w:t>
      </w:r>
      <w:r>
        <w:rPr>
          <w:rStyle w:val="eop"/>
          <w:rFonts w:ascii="Calibri" w:hAnsi="Calibri" w:cs="Calibri"/>
          <w:color w:val="1A4489"/>
          <w:sz w:val="36"/>
          <w:szCs w:val="36"/>
          <w:lang w:val="el"/>
        </w:rPr>
        <w:t> </w:t>
      </w:r>
    </w:p>
    <w:p w:rsidRPr="00FB5B2C" w:rsidR="008C1913" w:rsidP="008C1913" w:rsidRDefault="008C1913" w14:paraId="7C5C5800" w14:textId="77777777">
      <w:pPr>
        <w:pStyle w:val="paragraph"/>
        <w:shd w:val="clear" w:color="auto" w:fill="FFFFFF"/>
        <w:spacing w:before="0" w:beforeAutospacing="0" w:after="0" w:afterAutospacing="0"/>
        <w:jc w:val="both"/>
        <w:textAlignment w:val="baseline"/>
        <w:rPr>
          <w:rFonts w:ascii="Calibri" w:hAnsi="Calibri" w:cs="Calibri"/>
          <w:sz w:val="20"/>
          <w:szCs w:val="20"/>
          <w:lang w:val="el-GR"/>
        </w:rPr>
      </w:pPr>
    </w:p>
    <w:p w:rsidRPr="00FB5B2C" w:rsidR="008C1913" w:rsidP="008C1913" w:rsidRDefault="00F4214B" w14:paraId="7DA8FDE5" w14:textId="77777777">
      <w:pPr>
        <w:pStyle w:val="paragraph"/>
        <w:spacing w:before="0" w:beforeAutospacing="0" w:after="0" w:afterAutospacing="0"/>
        <w:jc w:val="both"/>
        <w:textAlignment w:val="baseline"/>
        <w:rPr>
          <w:rStyle w:val="eop"/>
          <w:rFonts w:ascii="Calibri" w:hAnsi="Calibri" w:cs="Calibri"/>
          <w:color w:val="000000"/>
          <w:lang w:val="el-GR"/>
        </w:rPr>
      </w:pPr>
      <w:r>
        <w:rPr>
          <w:rStyle w:val="normaltextrun"/>
          <w:rFonts w:ascii="Calibri" w:hAnsi="Calibri" w:cs="Calibri"/>
          <w:color w:val="000000"/>
          <w:lang w:val="el"/>
        </w:rPr>
        <w:t xml:space="preserve">Η εργαλειοθήκη της </w:t>
      </w:r>
      <w:r>
        <w:rPr>
          <w:rStyle w:val="normaltextrun"/>
          <w:rFonts w:ascii="Calibri" w:hAnsi="Calibri" w:cs="Calibri"/>
          <w:color w:val="000000"/>
          <w:lang w:val="el"/>
        </w:rPr>
        <w:t>εκστρατείας περιλαμβάνει μεταφρασμένο υλικό της εκστρατείας που είναι διαθέσιμο προς χρήση από τα ενδιαφερόμενα μέρη σε εθνικό επίπεδο, προκειμένου να διευκολυνθεί η διάδοση της εκστρατείας και να μεγιστοποιηθεί η εμβέλειά της.</w:t>
      </w:r>
      <w:r>
        <w:rPr>
          <w:rStyle w:val="eop"/>
          <w:rFonts w:ascii="Calibri" w:hAnsi="Calibri" w:cs="Calibri"/>
          <w:color w:val="000000"/>
          <w:lang w:val="el"/>
        </w:rPr>
        <w:t> </w:t>
      </w:r>
    </w:p>
    <w:p w:rsidRPr="00FB5B2C" w:rsidR="008C1913" w:rsidP="008C1913" w:rsidRDefault="008C1913" w14:paraId="57212ACF" w14:textId="77777777">
      <w:pPr>
        <w:pStyle w:val="paragraph"/>
        <w:spacing w:before="0" w:beforeAutospacing="0" w:after="0" w:afterAutospacing="0"/>
        <w:jc w:val="both"/>
        <w:textAlignment w:val="baseline"/>
        <w:rPr>
          <w:rFonts w:ascii="Calibri" w:hAnsi="Calibri" w:cs="Calibri"/>
          <w:sz w:val="18"/>
          <w:szCs w:val="18"/>
          <w:lang w:val="el-GR"/>
        </w:rPr>
      </w:pPr>
    </w:p>
    <w:p w:rsidRPr="00FB5B2C" w:rsidR="008C1913" w:rsidP="008C1913" w:rsidRDefault="00F4214B" w14:paraId="2E742157" w14:textId="484F4D3B">
      <w:pPr>
        <w:pStyle w:val="paragraph"/>
        <w:numPr>
          <w:ilvl w:val="0"/>
          <w:numId w:val="13"/>
        </w:numPr>
        <w:spacing w:before="0" w:beforeAutospacing="0" w:after="0" w:afterAutospacing="0"/>
        <w:jc w:val="both"/>
        <w:textAlignment w:val="baseline"/>
        <w:rPr>
          <w:rFonts w:ascii="Calibri" w:hAnsi="Calibri" w:cs="Calibri"/>
          <w:lang w:val="el-GR"/>
        </w:rPr>
      </w:pPr>
      <w:r>
        <w:rPr>
          <w:rStyle w:val="normaltextrun"/>
          <w:rFonts w:ascii="Calibri" w:hAnsi="Calibri" w:cs="Calibri"/>
          <w:b/>
          <w:bCs/>
          <w:color w:val="000000"/>
          <w:lang w:val="el"/>
        </w:rPr>
        <w:t>Γενικό πλαίσιο της εκστρατ</w:t>
      </w:r>
      <w:r>
        <w:rPr>
          <w:rStyle w:val="normaltextrun"/>
          <w:rFonts w:ascii="Calibri" w:hAnsi="Calibri" w:cs="Calibri"/>
          <w:b/>
          <w:bCs/>
          <w:color w:val="000000"/>
          <w:lang w:val="el"/>
        </w:rPr>
        <w:t>είας:</w:t>
      </w:r>
      <w:r>
        <w:rPr>
          <w:rStyle w:val="normaltextrun"/>
          <w:rFonts w:ascii="Calibri" w:hAnsi="Calibri" w:cs="Calibri"/>
          <w:color w:val="000000"/>
          <w:lang w:val="el"/>
        </w:rPr>
        <w:t xml:space="preserve"> Το έγγραφο αυτό παρουσιάζει μια επισκόπηση των στόχων, των θεμάτων, </w:t>
      </w:r>
      <w:r w:rsidRPr="0027775A" w:rsidR="005C6A5C">
        <w:rPr>
          <w:rStyle w:val="normaltextrun"/>
          <w:rFonts w:ascii="Calibri" w:hAnsi="Calibri" w:cs="Calibri"/>
          <w:color w:val="000000"/>
          <w:lang w:val="el-GR"/>
        </w:rPr>
        <w:t>των ομάδων-στόχ</w:t>
      </w:r>
      <w:r w:rsidRPr="0027775A" w:rsidR="0027775A">
        <w:rPr>
          <w:rStyle w:val="normaltextrun"/>
          <w:rFonts w:ascii="Calibri" w:hAnsi="Calibri" w:cs="Calibri"/>
          <w:color w:val="000000"/>
          <w:lang w:val="el-GR"/>
        </w:rPr>
        <w:t>ων</w:t>
      </w:r>
      <w:r w:rsidR="005C6A5C">
        <w:rPr>
          <w:rStyle w:val="normaltextrun"/>
          <w:rFonts w:ascii="Calibri" w:hAnsi="Calibri" w:cs="Calibri"/>
          <w:color w:val="000000"/>
          <w:lang w:val="el-GR"/>
        </w:rPr>
        <w:t xml:space="preserve"> </w:t>
      </w:r>
      <w:r>
        <w:rPr>
          <w:rStyle w:val="normaltextrun"/>
          <w:rFonts w:ascii="Calibri" w:hAnsi="Calibri" w:cs="Calibri"/>
          <w:color w:val="000000"/>
          <w:lang w:val="el"/>
        </w:rPr>
        <w:t>και του επικοινωνιακού ύφους της εκστρατείας. Το έγγραφο μπορεί να χρησιμοποιηθεί για τη δημιουργία περιεχομένου σχετικού με την εκστρατεία ή μπορεί να κοινοποιηθεί</w:t>
      </w:r>
      <w:r>
        <w:rPr>
          <w:rStyle w:val="normaltextrun"/>
          <w:rFonts w:ascii="Calibri" w:hAnsi="Calibri" w:cs="Calibri"/>
          <w:color w:val="000000"/>
          <w:lang w:val="el"/>
        </w:rPr>
        <w:t xml:space="preserve"> ως έχει.</w:t>
      </w:r>
      <w:r>
        <w:rPr>
          <w:rStyle w:val="eop"/>
          <w:rFonts w:ascii="Calibri" w:hAnsi="Calibri" w:cs="Calibri"/>
          <w:color w:val="000000"/>
          <w:lang w:val="el"/>
        </w:rPr>
        <w:t> </w:t>
      </w:r>
    </w:p>
    <w:p w:rsidRPr="00A95132" w:rsidR="008C1913" w:rsidP="1B40F9EC" w:rsidRDefault="00F4214B" w14:paraId="382FCDCA" w14:textId="4B755124">
      <w:pPr>
        <w:pStyle w:val="paragraph"/>
        <w:numPr>
          <w:ilvl w:val="0"/>
          <w:numId w:val="13"/>
        </w:numPr>
        <w:spacing w:before="0" w:beforeAutospacing="0" w:after="0" w:afterAutospacing="0"/>
        <w:jc w:val="both"/>
        <w:textAlignment w:val="baseline"/>
        <w:rPr>
          <w:rFonts w:ascii="Calibri" w:hAnsi="Calibri" w:cs="Calibri"/>
          <w:lang w:val="el-GR"/>
        </w:rPr>
      </w:pPr>
      <w:r w:rsidRPr="00A95132">
        <w:rPr>
          <w:rStyle w:val="normaltextrun"/>
          <w:rFonts w:ascii="Calibri" w:hAnsi="Calibri" w:cs="Calibri"/>
          <w:b/>
          <w:bCs/>
          <w:color w:val="000000" w:themeColor="text1"/>
          <w:lang w:val="el"/>
        </w:rPr>
        <w:t>Βασικ</w:t>
      </w:r>
      <w:r w:rsidRPr="00A95132" w:rsidR="00D72B3E">
        <w:rPr>
          <w:rStyle w:val="normaltextrun"/>
          <w:rFonts w:ascii="Calibri" w:hAnsi="Calibri" w:cs="Calibri"/>
          <w:b/>
          <w:bCs/>
          <w:color w:val="000000" w:themeColor="text1"/>
          <w:lang w:val="el"/>
        </w:rPr>
        <w:t>ό</w:t>
      </w:r>
      <w:r w:rsidRPr="00A95132">
        <w:rPr>
          <w:rStyle w:val="normaltextrun"/>
          <w:rFonts w:ascii="Calibri" w:hAnsi="Calibri" w:cs="Calibri"/>
          <w:b/>
          <w:bCs/>
          <w:color w:val="000000" w:themeColor="text1"/>
          <w:lang w:val="el"/>
        </w:rPr>
        <w:t xml:space="preserve"> </w:t>
      </w:r>
      <w:proofErr w:type="spellStart"/>
      <w:r w:rsidRPr="00A95132">
        <w:rPr>
          <w:rStyle w:val="normaltextrun"/>
          <w:rFonts w:ascii="Calibri" w:hAnsi="Calibri" w:cs="Calibri"/>
          <w:b/>
          <w:bCs/>
          <w:color w:val="000000" w:themeColor="text1"/>
          <w:lang w:val="el"/>
        </w:rPr>
        <w:t>οπτικ</w:t>
      </w:r>
      <w:proofErr w:type="spellEnd"/>
      <w:r w:rsidRPr="00A95132" w:rsidR="00D72B3E">
        <w:rPr>
          <w:rStyle w:val="normaltextrun"/>
          <w:rFonts w:ascii="Calibri" w:hAnsi="Calibri" w:cs="Calibri"/>
          <w:b/>
          <w:bCs/>
          <w:color w:val="000000" w:themeColor="text1"/>
          <w:lang w:val="en-US"/>
        </w:rPr>
        <w:t>o</w:t>
      </w:r>
      <w:r w:rsidRPr="00A95132" w:rsidR="00D72B3E">
        <w:rPr>
          <w:rStyle w:val="normaltextrun"/>
          <w:rFonts w:ascii="Calibri" w:hAnsi="Calibri" w:cs="Calibri"/>
          <w:b/>
          <w:bCs/>
          <w:color w:val="000000" w:themeColor="text1"/>
          <w:lang w:val="el-GR"/>
        </w:rPr>
        <w:t>ακουστικό υλικό</w:t>
      </w:r>
      <w:r w:rsidRPr="00A95132">
        <w:rPr>
          <w:rStyle w:val="normaltextrun"/>
          <w:rFonts w:ascii="Calibri" w:hAnsi="Calibri" w:cs="Calibri"/>
          <w:b/>
          <w:bCs/>
          <w:color w:val="000000" w:themeColor="text1"/>
          <w:lang w:val="el"/>
        </w:rPr>
        <w:t>:</w:t>
      </w:r>
      <w:r w:rsidRPr="00A95132">
        <w:rPr>
          <w:rStyle w:val="normaltextrun"/>
          <w:rFonts w:ascii="Calibri" w:hAnsi="Calibri" w:cs="Calibri"/>
          <w:color w:val="000000" w:themeColor="text1"/>
          <w:lang w:val="el"/>
        </w:rPr>
        <w:t xml:space="preserve"> Υψηλής ποιότητας οπτικ</w:t>
      </w:r>
      <w:r w:rsidRPr="00A95132" w:rsidR="00D72B3E">
        <w:rPr>
          <w:rStyle w:val="normaltextrun"/>
          <w:rFonts w:ascii="Calibri" w:hAnsi="Calibri" w:cs="Calibri"/>
          <w:color w:val="000000" w:themeColor="text1"/>
          <w:lang w:val="el"/>
        </w:rPr>
        <w:t>οακουστικό</w:t>
      </w:r>
      <w:r w:rsidRPr="00A95132">
        <w:rPr>
          <w:rStyle w:val="normaltextrun"/>
          <w:rFonts w:ascii="Calibri" w:hAnsi="Calibri" w:cs="Calibri"/>
          <w:color w:val="000000" w:themeColor="text1"/>
          <w:lang w:val="el"/>
        </w:rPr>
        <w:t xml:space="preserve"> </w:t>
      </w:r>
      <w:r w:rsidRPr="00A95132" w:rsidR="00D72B3E">
        <w:rPr>
          <w:rStyle w:val="normaltextrun"/>
          <w:rFonts w:ascii="Calibri" w:hAnsi="Calibri" w:cs="Calibri"/>
          <w:color w:val="000000" w:themeColor="text1"/>
          <w:lang w:val="el"/>
        </w:rPr>
        <w:t xml:space="preserve">υλικό </w:t>
      </w:r>
      <w:r w:rsidRPr="00A95132">
        <w:rPr>
          <w:rStyle w:val="normaltextrun"/>
          <w:rFonts w:ascii="Calibri" w:hAnsi="Calibri" w:cs="Calibri"/>
          <w:color w:val="000000" w:themeColor="text1"/>
          <w:lang w:val="el"/>
        </w:rPr>
        <w:t>που καλύπτ</w:t>
      </w:r>
      <w:r w:rsidRPr="00A95132" w:rsidR="00D72B3E">
        <w:rPr>
          <w:rStyle w:val="normaltextrun"/>
          <w:rFonts w:ascii="Calibri" w:hAnsi="Calibri" w:cs="Calibri"/>
          <w:color w:val="000000" w:themeColor="text1"/>
          <w:lang w:val="el"/>
        </w:rPr>
        <w:t>ει</w:t>
      </w:r>
      <w:r w:rsidRPr="00A95132">
        <w:rPr>
          <w:rStyle w:val="normaltextrun"/>
          <w:rFonts w:ascii="Calibri" w:hAnsi="Calibri" w:cs="Calibri"/>
          <w:color w:val="000000" w:themeColor="text1"/>
          <w:lang w:val="el"/>
        </w:rPr>
        <w:t xml:space="preserve"> τα κεντρικά θέματα της εκστρατείας. Διαθέσιμ</w:t>
      </w:r>
      <w:r w:rsidRPr="00A95132" w:rsidR="00D72B3E">
        <w:rPr>
          <w:rStyle w:val="normaltextrun"/>
          <w:rFonts w:ascii="Calibri" w:hAnsi="Calibri" w:cs="Calibri"/>
          <w:color w:val="000000" w:themeColor="text1"/>
          <w:lang w:val="el"/>
        </w:rPr>
        <w:t>ο</w:t>
      </w:r>
      <w:r w:rsidRPr="00A95132">
        <w:rPr>
          <w:rStyle w:val="normaltextrun"/>
          <w:rFonts w:ascii="Calibri" w:hAnsi="Calibri" w:cs="Calibri"/>
          <w:color w:val="000000" w:themeColor="text1"/>
          <w:lang w:val="el"/>
        </w:rPr>
        <w:t xml:space="preserve"> στη γλώσσα σας και κατάλληλ</w:t>
      </w:r>
      <w:r w:rsidRPr="00A95132" w:rsidR="00684224">
        <w:rPr>
          <w:rStyle w:val="normaltextrun"/>
          <w:rFonts w:ascii="Calibri" w:hAnsi="Calibri" w:cs="Calibri"/>
          <w:color w:val="000000" w:themeColor="text1"/>
          <w:lang w:val="el"/>
        </w:rPr>
        <w:t>ο</w:t>
      </w:r>
      <w:r w:rsidRPr="00A95132">
        <w:rPr>
          <w:rStyle w:val="normaltextrun"/>
          <w:rFonts w:ascii="Calibri" w:hAnsi="Calibri" w:cs="Calibri"/>
          <w:color w:val="000000" w:themeColor="text1"/>
          <w:lang w:val="el"/>
        </w:rPr>
        <w:t xml:space="preserve"> προς χρήση στον </w:t>
      </w:r>
      <w:proofErr w:type="spellStart"/>
      <w:r w:rsidRPr="00A95132">
        <w:rPr>
          <w:rStyle w:val="normaltextrun"/>
          <w:rFonts w:ascii="Calibri" w:hAnsi="Calibri" w:cs="Calibri"/>
          <w:color w:val="000000" w:themeColor="text1"/>
          <w:lang w:val="el"/>
        </w:rPr>
        <w:t>ιστότοπό</w:t>
      </w:r>
      <w:proofErr w:type="spellEnd"/>
      <w:r w:rsidRPr="00A95132">
        <w:rPr>
          <w:rStyle w:val="normaltextrun"/>
          <w:rFonts w:ascii="Calibri" w:hAnsi="Calibri" w:cs="Calibri"/>
          <w:color w:val="000000" w:themeColor="text1"/>
          <w:lang w:val="el"/>
        </w:rPr>
        <w:t xml:space="preserve"> σας, στους λογαριασμούς σας στα μέσα κοινωνικής δικτύωσης, στα ενημερωτικά δελτία ή σε οποιαδήποτε άλλη σχετική πλατφόρμα.</w:t>
      </w:r>
      <w:r w:rsidRPr="00A95132">
        <w:rPr>
          <w:rStyle w:val="eop"/>
          <w:rFonts w:ascii="Calibri" w:hAnsi="Calibri" w:cs="Calibri"/>
          <w:color w:val="000000" w:themeColor="text1"/>
          <w:lang w:val="el"/>
        </w:rPr>
        <w:t> </w:t>
      </w:r>
    </w:p>
    <w:p w:rsidRPr="00FB5B2C" w:rsidR="008C1913" w:rsidP="4BDB4841" w:rsidRDefault="00F4214B" w14:paraId="1CF6874A" w14:textId="6EAD227F">
      <w:pPr>
        <w:pStyle w:val="paragraph"/>
        <w:numPr>
          <w:ilvl w:val="0"/>
          <w:numId w:val="13"/>
        </w:numPr>
        <w:spacing w:before="0" w:beforeAutospacing="0" w:after="0" w:afterAutospacing="0"/>
        <w:jc w:val="both"/>
        <w:textAlignment w:val="baseline"/>
        <w:rPr>
          <w:rStyle w:val="eop"/>
          <w:rFonts w:ascii="Calibri" w:hAnsi="Calibri" w:cs="Calibri"/>
          <w:lang w:val="el-GR"/>
        </w:rPr>
      </w:pPr>
      <w:r>
        <w:rPr>
          <w:rStyle w:val="normaltextrun"/>
          <w:rFonts w:ascii="Calibri" w:hAnsi="Calibri" w:cs="Calibri"/>
          <w:b/>
          <w:bCs/>
          <w:color w:val="000000" w:themeColor="text1"/>
          <w:lang w:val="el"/>
        </w:rPr>
        <w:t xml:space="preserve">Έτοιμες προς χρήση αναρτήσεις για μέσα κοινωνικής δικτύωσης (στην τοπική γλώσσα): </w:t>
      </w:r>
      <w:r>
        <w:rPr>
          <w:rStyle w:val="normaltextrun"/>
          <w:rFonts w:ascii="Calibri" w:hAnsi="Calibri" w:cs="Calibri"/>
          <w:color w:val="000000" w:themeColor="text1"/>
          <w:lang w:val="el"/>
        </w:rPr>
        <w:t xml:space="preserve">Μπορούν να κοινοποιηθούν μέσω των καναλιών σας στα μέσα κοινωνικής δικτύωσης, χρησιμοποιώντας το επίσημο </w:t>
      </w:r>
      <w:proofErr w:type="spellStart"/>
      <w:r>
        <w:rPr>
          <w:rStyle w:val="normaltextrun"/>
          <w:rFonts w:ascii="Calibri" w:hAnsi="Calibri" w:cs="Calibri"/>
          <w:color w:val="000000" w:themeColor="text1"/>
          <w:lang w:val="el"/>
        </w:rPr>
        <w:t>hashtag</w:t>
      </w:r>
      <w:proofErr w:type="spellEnd"/>
      <w:r>
        <w:rPr>
          <w:rStyle w:val="normaltextrun"/>
          <w:rFonts w:ascii="Calibri" w:hAnsi="Calibri" w:cs="Calibri"/>
          <w:color w:val="000000" w:themeColor="text1"/>
          <w:lang w:val="el"/>
        </w:rPr>
        <w:t xml:space="preserve"> της εκστρατείας #EUSafe2Eat. Για να αυξήσετε την προβολή τους, φροντίστε να</w:t>
      </w:r>
      <w:r w:rsidR="00641DD6">
        <w:rPr>
          <w:rStyle w:val="normaltextrun"/>
          <w:rFonts w:ascii="Calibri" w:hAnsi="Calibri" w:cs="Calibri"/>
          <w:color w:val="000000" w:themeColor="text1"/>
          <w:lang w:val="el"/>
        </w:rPr>
        <w:t xml:space="preserve"> αναφέρετε </w:t>
      </w:r>
      <w:r>
        <w:rPr>
          <w:rStyle w:val="normaltextrun"/>
          <w:rFonts w:ascii="Calibri" w:hAnsi="Calibri" w:cs="Calibri"/>
          <w:color w:val="000000" w:themeColor="text1"/>
          <w:lang w:val="el"/>
        </w:rPr>
        <w:t>την EFSA κατά την προώθηση των μηνυμάτων σας.</w:t>
      </w:r>
      <w:r>
        <w:rPr>
          <w:rStyle w:val="eop"/>
          <w:rFonts w:ascii="Calibri" w:hAnsi="Calibri" w:cs="Calibri"/>
          <w:color w:val="000000" w:themeColor="text1"/>
          <w:lang w:val="el"/>
        </w:rPr>
        <w:t> </w:t>
      </w:r>
    </w:p>
    <w:p w:rsidRPr="00FB5B2C" w:rsidR="008C1913" w:rsidP="008C1913" w:rsidRDefault="008C1913" w14:paraId="38B0F19B" w14:textId="77777777">
      <w:pPr>
        <w:pStyle w:val="paragraph"/>
        <w:spacing w:before="0" w:beforeAutospacing="0" w:after="0" w:afterAutospacing="0"/>
        <w:ind w:left="1440"/>
        <w:jc w:val="both"/>
        <w:textAlignment w:val="baseline"/>
        <w:rPr>
          <w:rFonts w:ascii="Calibri" w:hAnsi="Calibri" w:cs="Calibri"/>
          <w:lang w:val="el-GR"/>
        </w:rPr>
      </w:pPr>
    </w:p>
    <w:p w:rsidRPr="00FB5B2C" w:rsidR="008C1913" w:rsidP="008C1913" w:rsidRDefault="00F4214B" w14:paraId="536638DD" w14:textId="77777777">
      <w:pPr>
        <w:pStyle w:val="paragraph"/>
        <w:spacing w:before="0" w:beforeAutospacing="0" w:after="0" w:afterAutospacing="0"/>
        <w:jc w:val="both"/>
        <w:textAlignment w:val="baseline"/>
        <w:rPr>
          <w:rFonts w:ascii="Segoe UI" w:hAnsi="Segoe UI" w:cs="Segoe UI"/>
          <w:sz w:val="18"/>
          <w:szCs w:val="18"/>
          <w:lang w:val="el-GR"/>
        </w:rPr>
      </w:pPr>
      <w:r>
        <w:rPr>
          <w:rStyle w:val="eop"/>
          <w:rFonts w:ascii="Calibri" w:hAnsi="Calibri" w:cs="Calibri"/>
          <w:sz w:val="20"/>
          <w:szCs w:val="20"/>
          <w:lang w:val="el"/>
        </w:rPr>
        <w:t> </w:t>
      </w:r>
    </w:p>
    <w:p w:rsidRPr="00FB5B2C" w:rsidR="00795E02" w:rsidP="008C1913" w:rsidRDefault="00795E02" w14:paraId="13A068B4" w14:textId="77777777">
      <w:pPr>
        <w:rPr>
          <w:lang w:val="el-GR"/>
        </w:rPr>
      </w:pPr>
    </w:p>
    <w:sectPr w:rsidRPr="00FB5B2C" w:rsidR="00795E02" w:rsidSect="00FB1EB5">
      <w:headerReference w:type="default" r:id="rId14"/>
      <w:footerReference w:type="default" r:id="rId15"/>
      <w:headerReference w:type="first" r:id="rId16"/>
      <w:footerReference w:type="first" r:id="rId17"/>
      <w:pgSz w:w="11906" w:h="16838" w:orient="portrait"/>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14B" w:rsidRDefault="00F4214B" w14:paraId="0D8A1724" w14:textId="77777777">
      <w:pPr>
        <w:spacing w:after="0"/>
      </w:pPr>
      <w:r>
        <w:separator/>
      </w:r>
    </w:p>
  </w:endnote>
  <w:endnote w:type="continuationSeparator" w:id="0">
    <w:p w:rsidR="00F4214B" w:rsidRDefault="00F4214B" w14:paraId="5C7B2DF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4C7AE5" w:rsidTr="0073258A" w14:paraId="4EB7D1CF" w14:textId="77777777">
      <w:tc>
        <w:tcPr>
          <w:tcW w:w="8505" w:type="dxa"/>
          <w:shd w:val="clear" w:color="auto" w:fill="auto"/>
        </w:tcPr>
        <w:p w:rsidR="00246A65" w:rsidP="00246A65" w:rsidRDefault="00246A65" w14:paraId="3C27676F" w14:textId="77777777">
          <w:pPr>
            <w:pStyle w:val="Footer"/>
          </w:pPr>
        </w:p>
      </w:tc>
    </w:tr>
  </w:tbl>
  <w:p w:rsidRPr="005B3B3E" w:rsidR="00246A65" w:rsidP="00246A65" w:rsidRDefault="00246A65" w14:paraId="7CF8CCC9" w14:textId="77777777">
    <w:pPr>
      <w:pStyle w:val="Footer"/>
    </w:pPr>
  </w:p>
  <w:p w:rsidRPr="00EA7E45" w:rsidR="00246A65" w:rsidP="00246A65" w:rsidRDefault="00246A65" w14:paraId="6FD52C02" w14:textId="77777777">
    <w:pPr>
      <w:pStyle w:val="Footer"/>
    </w:pPr>
  </w:p>
  <w:p w:rsidR="00246A65" w:rsidRDefault="00246A65" w14:paraId="600645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4C7AE5" w:rsidTr="00246A65" w14:paraId="490BCDE5" w14:textId="77777777">
      <w:tc>
        <w:tcPr>
          <w:tcW w:w="8505" w:type="dxa"/>
          <w:shd w:val="clear" w:color="auto" w:fill="auto"/>
        </w:tcPr>
        <w:p w:rsidR="00246A65" w:rsidP="00EA7E45" w:rsidRDefault="00246A65" w14:paraId="521D4C7A" w14:textId="77777777">
          <w:pPr>
            <w:pStyle w:val="Footer"/>
          </w:pPr>
        </w:p>
      </w:tc>
    </w:tr>
  </w:tbl>
  <w:p w:rsidRPr="005B3B3E" w:rsidR="00EA7E45" w:rsidP="00EA7E45" w:rsidRDefault="00EA7E45" w14:paraId="64E6A168" w14:textId="77777777">
    <w:pPr>
      <w:pStyle w:val="Footer"/>
    </w:pPr>
  </w:p>
  <w:p w:rsidRPr="00EA7E45" w:rsidR="00EA7E45" w:rsidP="00EA7E45" w:rsidRDefault="00EA7E45" w14:paraId="7ECAFD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14B" w:rsidRDefault="00F4214B" w14:paraId="7DDA6CEF" w14:textId="77777777">
      <w:pPr>
        <w:spacing w:after="0"/>
      </w:pPr>
      <w:r>
        <w:separator/>
      </w:r>
    </w:p>
  </w:footnote>
  <w:footnote w:type="continuationSeparator" w:id="0">
    <w:p w:rsidR="00F4214B" w:rsidRDefault="00F4214B" w14:paraId="62BCA3D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A7E45" w:rsidP="00EA7E45" w:rsidRDefault="00F4214B" w14:paraId="423C9220" w14:textId="77777777">
    <w:pPr>
      <w:pStyle w:val="Header"/>
      <w:jc w:val="right"/>
    </w:pPr>
    <w:r>
      <w:rPr>
        <w:noProof/>
      </w:rPr>
      <mc:AlternateContent>
        <mc:Choice Requires="wps">
          <w:drawing>
            <wp:anchor distT="0" distB="0" distL="114300" distR="114300" simplePos="0" relativeHeight="251666432" behindDoc="0" locked="0" layoutInCell="1" allowOverlap="1" wp14:anchorId="29A7BF0F" wp14:editId="23595E78">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rPr>
      <w:drawing>
        <wp:anchor distT="0" distB="0" distL="114300" distR="114300" simplePos="0" relativeHeight="251665408" behindDoc="0" locked="0" layoutInCell="1" allowOverlap="1" wp14:anchorId="3689E807" wp14:editId="6397247D">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el"/>
      </w:rPr>
      <w:t xml:space="preserve"> </w:t>
    </w:r>
    <w:r>
      <w:rPr>
        <w:noProof/>
      </w:rPr>
      <mc:AlternateContent>
        <mc:Choice Requires="wps">
          <w:drawing>
            <wp:anchor distT="0" distB="0" distL="114300" distR="114300" simplePos="0" relativeHeight="251663360" behindDoc="1" locked="0" layoutInCell="1" allowOverlap="1" wp14:anchorId="385FC858" wp14:editId="4D95B840">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458FC48E" w14:textId="77777777">
                          <w:pPr>
                            <w:pStyle w:val="Heading4"/>
                          </w:pPr>
                        </w:p>
                        <w:p w:rsidRPr="0059261D" w:rsidR="00795E02" w:rsidP="00795E02" w:rsidRDefault="00795E02" w14:paraId="37744C22" w14:textId="77777777">
                          <w:pPr>
                            <w:pStyle w:val="Heading4"/>
                          </w:pPr>
                        </w:p>
                        <w:p w:rsidRPr="0059261D" w:rsidR="00795E02" w:rsidP="00795E02" w:rsidRDefault="00795E02" w14:paraId="0399984F" w14:textId="77777777">
                          <w:pPr>
                            <w:pStyle w:val="Heading3"/>
                          </w:pPr>
                        </w:p>
                        <w:p w:rsidRPr="00795E02" w:rsidR="00795E02" w:rsidP="00795E02" w:rsidRDefault="00795E02" w14:paraId="3674CE0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width:596.65pt;height:97.3pt;margin-top:-34.3pt;margin-left:-86pt;mso-height-percent:0;mso-height-relative:margin;mso-width-percent:0;mso-width-relative:margin;mso-wrap-distance-bottom:0;mso-wrap-distance-left:9pt;mso-wrap-distance-right:9pt;mso-wrap-distance-top:0;mso-wrap-style:square;position:absolute;visibility:visible;v-text-anchor:middle;z-index:-251652096" o:spid="_x0000_s2050" fillcolor="#787878" stroked="f" strokeweight="1pt">
              <v:textbox>
                <w:txbxContent>
                  <w:p w:rsidRPr="0059261D" w:rsidR="00795E02" w:rsidP="00795E02" w14:paraId="2829897D" w14:textId="77777777">
                    <w:pPr>
                      <w:pStyle w:val="Heading4"/>
                    </w:pPr>
                  </w:p>
                  <w:p w:rsidRPr="0059261D" w:rsidR="00795E02" w:rsidP="00795E02" w14:paraId="5C8C5574" w14:textId="77777777">
                    <w:pPr>
                      <w:pStyle w:val="Heading4"/>
                    </w:pPr>
                  </w:p>
                  <w:p w:rsidRPr="0059261D" w:rsidR="00795E02" w:rsidP="00795E02" w14:paraId="0EB72334" w14:textId="77777777">
                    <w:pPr>
                      <w:pStyle w:val="Heading3"/>
                    </w:pPr>
                  </w:p>
                  <w:p w:rsidRPr="00795E02" w:rsidR="00795E02" w:rsidP="00795E02" w14:paraId="22CE3020" w14:textId="77777777">
                    <w:pPr>
                      <w:jc w:val="center"/>
                    </w:pPr>
                  </w:p>
                </w:txbxContent>
              </v:textbox>
            </v:rect>
          </w:pict>
        </mc:Fallback>
      </mc:AlternateContent>
    </w:r>
  </w:p>
  <w:p w:rsidRPr="0059261D" w:rsidR="00795E02" w:rsidP="00795E02" w:rsidRDefault="00F4214B" w14:paraId="28BEB7C8" w14:textId="77777777">
    <w:pPr>
      <w:pStyle w:val="Heading4"/>
    </w:pPr>
    <w:r>
      <w:rPr>
        <w:lang w:val="el"/>
      </w:rPr>
      <w:t>ΓΕΝΙΚΟ ΠΛΑΙΣΙΟ</w:t>
    </w:r>
  </w:p>
  <w:p w:rsidRPr="00246A65" w:rsidR="00246A65" w:rsidP="008C1913" w:rsidRDefault="00F4214B" w14:paraId="379D4B8C" w14:textId="77777777">
    <w:pPr>
      <w:pStyle w:val="Heading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Pr>
            <w:lang w:val="el"/>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A7E45" w:rsidP="00EA7E45" w:rsidRDefault="00F4214B" w14:paraId="7A16326B" w14:textId="77777777">
    <w:pPr>
      <w:pStyle w:val="Header"/>
    </w:pPr>
    <w:r>
      <w:rPr>
        <w:noProof/>
      </w:rPr>
      <w:drawing>
        <wp:anchor distT="0" distB="0" distL="114300" distR="114300" simplePos="0" relativeHeight="251660288" behindDoc="0" locked="0" layoutInCell="1" allowOverlap="1" wp14:anchorId="03CA58C1" wp14:editId="04BB8E01">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A435E15" wp14:editId="757D1B6D">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B920F98" wp14:editId="0D6D22BF">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00A9632A" w:rsidP="0059261D" w:rsidRDefault="00A9632A" w14:paraId="1AE495EF" w14:textId="77777777">
                          <w:pPr>
                            <w:pStyle w:val="Heading4"/>
                          </w:pPr>
                        </w:p>
                        <w:p w:rsidRPr="0059261D" w:rsidR="0059261D" w:rsidP="0059261D" w:rsidRDefault="00F4214B" w14:paraId="4E58AE84" w14:textId="77777777">
                          <w:pPr>
                            <w:pStyle w:val="Heading4"/>
                          </w:pPr>
                          <w:r>
                            <w:rPr>
                              <w:lang w:val="el"/>
                            </w:rPr>
                            <w:t xml:space="preserve">ΓΕΝΙΚΟ ΠΛΑΙΣΙΟ </w:t>
                          </w:r>
                        </w:p>
                        <w:p w:rsidRPr="0059261D" w:rsidR="0059261D" w:rsidP="0059261D" w:rsidRDefault="0059261D" w14:paraId="3B2BDCBD" w14:textId="77777777">
                          <w:pPr>
                            <w:pStyle w:val="Heading4"/>
                          </w:pPr>
                        </w:p>
                        <w:p w:rsidRPr="0059261D" w:rsidR="0059261D" w:rsidP="0059261D" w:rsidRDefault="00F4214B" w14:paraId="1CC00FE3" w14:textId="77777777">
                          <w:pPr>
                            <w:pStyle w:val="Heading3"/>
                          </w:pPr>
                          <w:r>
                            <w:rPr>
                              <w:lang w:val="el"/>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Zone de texte 136" style="width:356.55pt;height:121.6pt;margin-top:-1.3pt;margin-left:-7.2pt;mso-height-percent:0;mso-height-relative:margin;mso-width-percent:0;mso-width-relative:margin;mso-wrap-distance-bottom:0;mso-wrap-distance-left:9pt;mso-wrap-distance-right:9pt;mso-wrap-distance-top:0;mso-wrap-style:square;position:absolute;visibility:visible;v-text-anchor:top;z-index:251662336" o:spid="_x0000_s2051" filled="f" stroked="f" strokeweight="0.5pt" type="#_x0000_t202">
              <v:textbox>
                <w:txbxContent>
                  <w:p w:rsidR="00A9632A" w:rsidP="0059261D" w14:paraId="1307A013" w14:textId="77777777">
                    <w:pPr>
                      <w:pStyle w:val="Heading4"/>
                    </w:pPr>
                  </w:p>
                  <w:p w:rsidRPr="0059261D" w:rsidR="0059261D" w:rsidP="0059261D" w14:paraId="1B81C83F" w14:textId="458ED17E">
                    <w:pPr>
                      <w:pStyle w:val="Heading4"/>
                    </w:pPr>
                    <w:r>
                      <w:t xml:space="preserve">BACKGROUNDER </w:t>
                    </w:r>
                  </w:p>
                  <w:p w:rsidRPr="0059261D" w:rsidR="0059261D" w:rsidP="0059261D" w14:paraId="5CEBCE9C" w14:textId="77777777">
                    <w:pPr>
                      <w:pStyle w:val="Heading4"/>
                    </w:pPr>
                  </w:p>
                  <w:p w:rsidRPr="0059261D" w:rsidR="0059261D" w:rsidP="0059261D" w14:paraId="5D621993" w14:textId="699DE643">
                    <w:pPr>
                      <w:pStyle w:val="Heading3"/>
                    </w:pPr>
                    <w:r>
                      <w:t>SAFE2EAT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DABBC6" wp14:editId="18627239">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rsidR="00EA7E45" w:rsidRDefault="00F4214B" w14:paraId="4099395E" w14:textId="77777777">
    <w:pPr>
      <w:pStyle w:val="Header"/>
    </w:pPr>
    <w:r>
      <w:rPr>
        <w:noProof/>
      </w:rPr>
      <mc:AlternateContent>
        <mc:Choice Requires="wps">
          <w:drawing>
            <wp:anchor distT="0" distB="0" distL="114300" distR="114300" simplePos="0" relativeHeight="251667456" behindDoc="0" locked="0" layoutInCell="1" allowOverlap="1" wp14:anchorId="13C4BFA3" wp14:editId="7DF89C43">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861"/>
    <w:multiLevelType w:val="hybridMultilevel"/>
    <w:tmpl w:val="38D0E816"/>
    <w:lvl w:ilvl="0" w:tplc="3BB6130C">
      <w:start w:val="1"/>
      <w:numFmt w:val="bullet"/>
      <w:lvlText w:val=""/>
      <w:lvlJc w:val="left"/>
      <w:pPr>
        <w:ind w:left="720" w:hanging="360"/>
      </w:pPr>
      <w:rPr>
        <w:rFonts w:hint="default" w:ascii="Symbol" w:hAnsi="Symbol"/>
      </w:rPr>
    </w:lvl>
    <w:lvl w:ilvl="1" w:tplc="3A8C92B6" w:tentative="1">
      <w:start w:val="1"/>
      <w:numFmt w:val="bullet"/>
      <w:lvlText w:val="o"/>
      <w:lvlJc w:val="left"/>
      <w:pPr>
        <w:ind w:left="1440" w:hanging="360"/>
      </w:pPr>
      <w:rPr>
        <w:rFonts w:hint="default" w:ascii="Courier New" w:hAnsi="Courier New" w:cs="Courier New"/>
      </w:rPr>
    </w:lvl>
    <w:lvl w:ilvl="2" w:tplc="E34C91E0" w:tentative="1">
      <w:start w:val="1"/>
      <w:numFmt w:val="bullet"/>
      <w:lvlText w:val=""/>
      <w:lvlJc w:val="left"/>
      <w:pPr>
        <w:ind w:left="2160" w:hanging="360"/>
      </w:pPr>
      <w:rPr>
        <w:rFonts w:hint="default" w:ascii="Wingdings" w:hAnsi="Wingdings"/>
      </w:rPr>
    </w:lvl>
    <w:lvl w:ilvl="3" w:tplc="E3A248DA" w:tentative="1">
      <w:start w:val="1"/>
      <w:numFmt w:val="bullet"/>
      <w:lvlText w:val=""/>
      <w:lvlJc w:val="left"/>
      <w:pPr>
        <w:ind w:left="2880" w:hanging="360"/>
      </w:pPr>
      <w:rPr>
        <w:rFonts w:hint="default" w:ascii="Symbol" w:hAnsi="Symbol"/>
      </w:rPr>
    </w:lvl>
    <w:lvl w:ilvl="4" w:tplc="688C2F04" w:tentative="1">
      <w:start w:val="1"/>
      <w:numFmt w:val="bullet"/>
      <w:lvlText w:val="o"/>
      <w:lvlJc w:val="left"/>
      <w:pPr>
        <w:ind w:left="3600" w:hanging="360"/>
      </w:pPr>
      <w:rPr>
        <w:rFonts w:hint="default" w:ascii="Courier New" w:hAnsi="Courier New" w:cs="Courier New"/>
      </w:rPr>
    </w:lvl>
    <w:lvl w:ilvl="5" w:tplc="0DAA9762" w:tentative="1">
      <w:start w:val="1"/>
      <w:numFmt w:val="bullet"/>
      <w:lvlText w:val=""/>
      <w:lvlJc w:val="left"/>
      <w:pPr>
        <w:ind w:left="4320" w:hanging="360"/>
      </w:pPr>
      <w:rPr>
        <w:rFonts w:hint="default" w:ascii="Wingdings" w:hAnsi="Wingdings"/>
      </w:rPr>
    </w:lvl>
    <w:lvl w:ilvl="6" w:tplc="FC144F4A" w:tentative="1">
      <w:start w:val="1"/>
      <w:numFmt w:val="bullet"/>
      <w:lvlText w:val=""/>
      <w:lvlJc w:val="left"/>
      <w:pPr>
        <w:ind w:left="5040" w:hanging="360"/>
      </w:pPr>
      <w:rPr>
        <w:rFonts w:hint="default" w:ascii="Symbol" w:hAnsi="Symbol"/>
      </w:rPr>
    </w:lvl>
    <w:lvl w:ilvl="7" w:tplc="41A48008" w:tentative="1">
      <w:start w:val="1"/>
      <w:numFmt w:val="bullet"/>
      <w:lvlText w:val="o"/>
      <w:lvlJc w:val="left"/>
      <w:pPr>
        <w:ind w:left="5760" w:hanging="360"/>
      </w:pPr>
      <w:rPr>
        <w:rFonts w:hint="default" w:ascii="Courier New" w:hAnsi="Courier New" w:cs="Courier New"/>
      </w:rPr>
    </w:lvl>
    <w:lvl w:ilvl="8" w:tplc="4B0A28BA" w:tentative="1">
      <w:start w:val="1"/>
      <w:numFmt w:val="bullet"/>
      <w:lvlText w:val=""/>
      <w:lvlJc w:val="left"/>
      <w:pPr>
        <w:ind w:left="6480" w:hanging="360"/>
      </w:pPr>
      <w:rPr>
        <w:rFonts w:hint="default" w:ascii="Wingdings" w:hAnsi="Wingdings"/>
      </w:rPr>
    </w:lvl>
  </w:abstractNum>
  <w:abstractNum w:abstractNumId="1" w15:restartNumberingAfterBreak="0">
    <w:nsid w:val="264143A5"/>
    <w:multiLevelType w:val="hybridMultilevel"/>
    <w:tmpl w:val="13783F9E"/>
    <w:lvl w:ilvl="0" w:tplc="5D969CEC">
      <w:start w:val="1"/>
      <w:numFmt w:val="bullet"/>
      <w:lvlText w:val=""/>
      <w:lvlJc w:val="left"/>
      <w:pPr>
        <w:ind w:left="502" w:hanging="360"/>
      </w:pPr>
      <w:rPr>
        <w:rFonts w:hint="default" w:ascii="Symbol" w:hAnsi="Symbol"/>
        <w:color w:val="4472C4" w:themeColor="accent1"/>
        <w:sz w:val="18"/>
      </w:rPr>
    </w:lvl>
    <w:lvl w:ilvl="1" w:tplc="84E2407E">
      <w:start w:val="1"/>
      <w:numFmt w:val="bullet"/>
      <w:pStyle w:val="Listparalevel2"/>
      <w:lvlText w:val="o"/>
      <w:lvlJc w:val="left"/>
      <w:pPr>
        <w:ind w:left="2576" w:hanging="360"/>
      </w:pPr>
      <w:rPr>
        <w:rFonts w:hint="default" w:ascii="Courier New" w:hAnsi="Courier New" w:cs="Courier New"/>
      </w:rPr>
    </w:lvl>
    <w:lvl w:ilvl="2" w:tplc="9168BDB8">
      <w:start w:val="1"/>
      <w:numFmt w:val="bullet"/>
      <w:pStyle w:val="Listparalevel3"/>
      <w:lvlText w:val=""/>
      <w:lvlJc w:val="left"/>
      <w:pPr>
        <w:ind w:left="3296" w:hanging="360"/>
      </w:pPr>
      <w:rPr>
        <w:rFonts w:hint="default" w:ascii="Wingdings" w:hAnsi="Wingdings"/>
      </w:rPr>
    </w:lvl>
    <w:lvl w:ilvl="3" w:tplc="D85612F8" w:tentative="1">
      <w:start w:val="1"/>
      <w:numFmt w:val="bullet"/>
      <w:lvlText w:val=""/>
      <w:lvlJc w:val="left"/>
      <w:pPr>
        <w:ind w:left="4016" w:hanging="360"/>
      </w:pPr>
      <w:rPr>
        <w:rFonts w:hint="default" w:ascii="Symbol" w:hAnsi="Symbol"/>
      </w:rPr>
    </w:lvl>
    <w:lvl w:ilvl="4" w:tplc="3AEAA294" w:tentative="1">
      <w:start w:val="1"/>
      <w:numFmt w:val="bullet"/>
      <w:lvlText w:val="o"/>
      <w:lvlJc w:val="left"/>
      <w:pPr>
        <w:ind w:left="4736" w:hanging="360"/>
      </w:pPr>
      <w:rPr>
        <w:rFonts w:hint="default" w:ascii="Courier New" w:hAnsi="Courier New" w:cs="Courier New"/>
      </w:rPr>
    </w:lvl>
    <w:lvl w:ilvl="5" w:tplc="88C6AD34" w:tentative="1">
      <w:start w:val="1"/>
      <w:numFmt w:val="bullet"/>
      <w:lvlText w:val=""/>
      <w:lvlJc w:val="left"/>
      <w:pPr>
        <w:ind w:left="5456" w:hanging="360"/>
      </w:pPr>
      <w:rPr>
        <w:rFonts w:hint="default" w:ascii="Wingdings" w:hAnsi="Wingdings"/>
      </w:rPr>
    </w:lvl>
    <w:lvl w:ilvl="6" w:tplc="3CDC4524" w:tentative="1">
      <w:start w:val="1"/>
      <w:numFmt w:val="bullet"/>
      <w:lvlText w:val=""/>
      <w:lvlJc w:val="left"/>
      <w:pPr>
        <w:ind w:left="6176" w:hanging="360"/>
      </w:pPr>
      <w:rPr>
        <w:rFonts w:hint="default" w:ascii="Symbol" w:hAnsi="Symbol"/>
      </w:rPr>
    </w:lvl>
    <w:lvl w:ilvl="7" w:tplc="F53A66B8" w:tentative="1">
      <w:start w:val="1"/>
      <w:numFmt w:val="bullet"/>
      <w:lvlText w:val="o"/>
      <w:lvlJc w:val="left"/>
      <w:pPr>
        <w:ind w:left="6896" w:hanging="360"/>
      </w:pPr>
      <w:rPr>
        <w:rFonts w:hint="default" w:ascii="Courier New" w:hAnsi="Courier New" w:cs="Courier New"/>
      </w:rPr>
    </w:lvl>
    <w:lvl w:ilvl="8" w:tplc="20965CCC" w:tentative="1">
      <w:start w:val="1"/>
      <w:numFmt w:val="bullet"/>
      <w:lvlText w:val=""/>
      <w:lvlJc w:val="left"/>
      <w:pPr>
        <w:ind w:left="7616" w:hanging="360"/>
      </w:pPr>
      <w:rPr>
        <w:rFonts w:hint="default" w:ascii="Wingdings" w:hAnsi="Wingdings"/>
      </w:rPr>
    </w:lvl>
  </w:abstractNum>
  <w:abstractNum w:abstractNumId="2" w15:restartNumberingAfterBreak="0">
    <w:nsid w:val="41AF13C2"/>
    <w:multiLevelType w:val="hybridMultilevel"/>
    <w:tmpl w:val="38B2888C"/>
    <w:lvl w:ilvl="0" w:tplc="534E2A46">
      <w:start w:val="1"/>
      <w:numFmt w:val="bullet"/>
      <w:lvlText w:val=""/>
      <w:lvlJc w:val="left"/>
      <w:pPr>
        <w:ind w:left="720" w:hanging="360"/>
      </w:pPr>
      <w:rPr>
        <w:rFonts w:hint="default" w:ascii="Symbol" w:hAnsi="Symbol"/>
      </w:rPr>
    </w:lvl>
    <w:lvl w:ilvl="1" w:tplc="2E06FDDE" w:tentative="1">
      <w:start w:val="1"/>
      <w:numFmt w:val="bullet"/>
      <w:lvlText w:val="o"/>
      <w:lvlJc w:val="left"/>
      <w:pPr>
        <w:ind w:left="1440" w:hanging="360"/>
      </w:pPr>
      <w:rPr>
        <w:rFonts w:hint="default" w:ascii="Courier New" w:hAnsi="Courier New" w:cs="Courier New"/>
      </w:rPr>
    </w:lvl>
    <w:lvl w:ilvl="2" w:tplc="FA1EFC2A" w:tentative="1">
      <w:start w:val="1"/>
      <w:numFmt w:val="bullet"/>
      <w:lvlText w:val=""/>
      <w:lvlJc w:val="left"/>
      <w:pPr>
        <w:ind w:left="2160" w:hanging="360"/>
      </w:pPr>
      <w:rPr>
        <w:rFonts w:hint="default" w:ascii="Wingdings" w:hAnsi="Wingdings"/>
      </w:rPr>
    </w:lvl>
    <w:lvl w:ilvl="3" w:tplc="80187782" w:tentative="1">
      <w:start w:val="1"/>
      <w:numFmt w:val="bullet"/>
      <w:lvlText w:val=""/>
      <w:lvlJc w:val="left"/>
      <w:pPr>
        <w:ind w:left="2880" w:hanging="360"/>
      </w:pPr>
      <w:rPr>
        <w:rFonts w:hint="default" w:ascii="Symbol" w:hAnsi="Symbol"/>
      </w:rPr>
    </w:lvl>
    <w:lvl w:ilvl="4" w:tplc="113231CE" w:tentative="1">
      <w:start w:val="1"/>
      <w:numFmt w:val="bullet"/>
      <w:lvlText w:val="o"/>
      <w:lvlJc w:val="left"/>
      <w:pPr>
        <w:ind w:left="3600" w:hanging="360"/>
      </w:pPr>
      <w:rPr>
        <w:rFonts w:hint="default" w:ascii="Courier New" w:hAnsi="Courier New" w:cs="Courier New"/>
      </w:rPr>
    </w:lvl>
    <w:lvl w:ilvl="5" w:tplc="17F6770C" w:tentative="1">
      <w:start w:val="1"/>
      <w:numFmt w:val="bullet"/>
      <w:lvlText w:val=""/>
      <w:lvlJc w:val="left"/>
      <w:pPr>
        <w:ind w:left="4320" w:hanging="360"/>
      </w:pPr>
      <w:rPr>
        <w:rFonts w:hint="default" w:ascii="Wingdings" w:hAnsi="Wingdings"/>
      </w:rPr>
    </w:lvl>
    <w:lvl w:ilvl="6" w:tplc="79DA1862" w:tentative="1">
      <w:start w:val="1"/>
      <w:numFmt w:val="bullet"/>
      <w:lvlText w:val=""/>
      <w:lvlJc w:val="left"/>
      <w:pPr>
        <w:ind w:left="5040" w:hanging="360"/>
      </w:pPr>
      <w:rPr>
        <w:rFonts w:hint="default" w:ascii="Symbol" w:hAnsi="Symbol"/>
      </w:rPr>
    </w:lvl>
    <w:lvl w:ilvl="7" w:tplc="C876D658" w:tentative="1">
      <w:start w:val="1"/>
      <w:numFmt w:val="bullet"/>
      <w:lvlText w:val="o"/>
      <w:lvlJc w:val="left"/>
      <w:pPr>
        <w:ind w:left="5760" w:hanging="360"/>
      </w:pPr>
      <w:rPr>
        <w:rFonts w:hint="default" w:ascii="Courier New" w:hAnsi="Courier New" w:cs="Courier New"/>
      </w:rPr>
    </w:lvl>
    <w:lvl w:ilvl="8" w:tplc="A79EF67C" w:tentative="1">
      <w:start w:val="1"/>
      <w:numFmt w:val="bullet"/>
      <w:lvlText w:val=""/>
      <w:lvlJc w:val="left"/>
      <w:pPr>
        <w:ind w:left="6480" w:hanging="360"/>
      </w:pPr>
      <w:rPr>
        <w:rFonts w:hint="default" w:ascii="Wingdings" w:hAnsi="Wingdings"/>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4B5DEA"/>
    <w:multiLevelType w:val="hybridMultilevel"/>
    <w:tmpl w:val="2CA88D32"/>
    <w:lvl w:ilvl="0" w:tplc="90B608A4">
      <w:start w:val="1"/>
      <w:numFmt w:val="bullet"/>
      <w:lvlText w:val=""/>
      <w:lvlJc w:val="left"/>
      <w:pPr>
        <w:ind w:left="1440" w:hanging="360"/>
      </w:pPr>
      <w:rPr>
        <w:rFonts w:hint="default" w:ascii="Symbol" w:hAnsi="Symbol"/>
      </w:rPr>
    </w:lvl>
    <w:lvl w:ilvl="1" w:tplc="DB340946" w:tentative="1">
      <w:start w:val="1"/>
      <w:numFmt w:val="bullet"/>
      <w:lvlText w:val="o"/>
      <w:lvlJc w:val="left"/>
      <w:pPr>
        <w:ind w:left="2160" w:hanging="360"/>
      </w:pPr>
      <w:rPr>
        <w:rFonts w:hint="default" w:ascii="Courier New" w:hAnsi="Courier New" w:cs="Courier New"/>
      </w:rPr>
    </w:lvl>
    <w:lvl w:ilvl="2" w:tplc="262254EA" w:tentative="1">
      <w:start w:val="1"/>
      <w:numFmt w:val="bullet"/>
      <w:lvlText w:val=""/>
      <w:lvlJc w:val="left"/>
      <w:pPr>
        <w:ind w:left="2880" w:hanging="360"/>
      </w:pPr>
      <w:rPr>
        <w:rFonts w:hint="default" w:ascii="Wingdings" w:hAnsi="Wingdings"/>
      </w:rPr>
    </w:lvl>
    <w:lvl w:ilvl="3" w:tplc="016E2210" w:tentative="1">
      <w:start w:val="1"/>
      <w:numFmt w:val="bullet"/>
      <w:lvlText w:val=""/>
      <w:lvlJc w:val="left"/>
      <w:pPr>
        <w:ind w:left="3600" w:hanging="360"/>
      </w:pPr>
      <w:rPr>
        <w:rFonts w:hint="default" w:ascii="Symbol" w:hAnsi="Symbol"/>
      </w:rPr>
    </w:lvl>
    <w:lvl w:ilvl="4" w:tplc="498841CE" w:tentative="1">
      <w:start w:val="1"/>
      <w:numFmt w:val="bullet"/>
      <w:lvlText w:val="o"/>
      <w:lvlJc w:val="left"/>
      <w:pPr>
        <w:ind w:left="4320" w:hanging="360"/>
      </w:pPr>
      <w:rPr>
        <w:rFonts w:hint="default" w:ascii="Courier New" w:hAnsi="Courier New" w:cs="Courier New"/>
      </w:rPr>
    </w:lvl>
    <w:lvl w:ilvl="5" w:tplc="FDF2D164" w:tentative="1">
      <w:start w:val="1"/>
      <w:numFmt w:val="bullet"/>
      <w:lvlText w:val=""/>
      <w:lvlJc w:val="left"/>
      <w:pPr>
        <w:ind w:left="5040" w:hanging="360"/>
      </w:pPr>
      <w:rPr>
        <w:rFonts w:hint="default" w:ascii="Wingdings" w:hAnsi="Wingdings"/>
      </w:rPr>
    </w:lvl>
    <w:lvl w:ilvl="6" w:tplc="7E16AC88" w:tentative="1">
      <w:start w:val="1"/>
      <w:numFmt w:val="bullet"/>
      <w:lvlText w:val=""/>
      <w:lvlJc w:val="left"/>
      <w:pPr>
        <w:ind w:left="5760" w:hanging="360"/>
      </w:pPr>
      <w:rPr>
        <w:rFonts w:hint="default" w:ascii="Symbol" w:hAnsi="Symbol"/>
      </w:rPr>
    </w:lvl>
    <w:lvl w:ilvl="7" w:tplc="6F1E43EE" w:tentative="1">
      <w:start w:val="1"/>
      <w:numFmt w:val="bullet"/>
      <w:lvlText w:val="o"/>
      <w:lvlJc w:val="left"/>
      <w:pPr>
        <w:ind w:left="6480" w:hanging="360"/>
      </w:pPr>
      <w:rPr>
        <w:rFonts w:hint="default" w:ascii="Courier New" w:hAnsi="Courier New" w:cs="Courier New"/>
      </w:rPr>
    </w:lvl>
    <w:lvl w:ilvl="8" w:tplc="83C81EFE" w:tentative="1">
      <w:start w:val="1"/>
      <w:numFmt w:val="bullet"/>
      <w:lvlText w:val=""/>
      <w:lvlJc w:val="left"/>
      <w:pPr>
        <w:ind w:left="7200" w:hanging="360"/>
      </w:pPr>
      <w:rPr>
        <w:rFonts w:hint="default" w:ascii="Wingdings" w:hAnsi="Wingdings"/>
      </w:rPr>
    </w:lvl>
  </w:abstractNum>
  <w:abstractNum w:abstractNumId="6" w15:restartNumberingAfterBreak="0">
    <w:nsid w:val="52A54A87"/>
    <w:multiLevelType w:val="hybridMultilevel"/>
    <w:tmpl w:val="55CAB824"/>
    <w:lvl w:ilvl="0" w:tplc="32DA418A">
      <w:start w:val="1"/>
      <w:numFmt w:val="decimal"/>
      <w:pStyle w:val="listnumgreen"/>
      <w:lvlText w:val="%1."/>
      <w:lvlJc w:val="left"/>
      <w:pPr>
        <w:ind w:left="360" w:hanging="360"/>
      </w:pPr>
      <w:rPr>
        <w:rFonts w:hint="default"/>
        <w:color w:val="22294D"/>
        <w:sz w:val="18"/>
      </w:rPr>
    </w:lvl>
    <w:lvl w:ilvl="1" w:tplc="A46C74E6" w:tentative="1">
      <w:start w:val="1"/>
      <w:numFmt w:val="lowerLetter"/>
      <w:lvlText w:val="%2."/>
      <w:lvlJc w:val="left"/>
      <w:pPr>
        <w:ind w:left="1440" w:hanging="360"/>
      </w:pPr>
    </w:lvl>
    <w:lvl w:ilvl="2" w:tplc="40EACB9E" w:tentative="1">
      <w:start w:val="1"/>
      <w:numFmt w:val="lowerRoman"/>
      <w:lvlText w:val="%3."/>
      <w:lvlJc w:val="right"/>
      <w:pPr>
        <w:ind w:left="2160" w:hanging="180"/>
      </w:pPr>
    </w:lvl>
    <w:lvl w:ilvl="3" w:tplc="0F9E925A" w:tentative="1">
      <w:start w:val="1"/>
      <w:numFmt w:val="decimal"/>
      <w:lvlText w:val="%4."/>
      <w:lvlJc w:val="left"/>
      <w:pPr>
        <w:ind w:left="2880" w:hanging="360"/>
      </w:pPr>
    </w:lvl>
    <w:lvl w:ilvl="4" w:tplc="1FC04B42" w:tentative="1">
      <w:start w:val="1"/>
      <w:numFmt w:val="lowerLetter"/>
      <w:lvlText w:val="%5."/>
      <w:lvlJc w:val="left"/>
      <w:pPr>
        <w:ind w:left="3600" w:hanging="360"/>
      </w:pPr>
    </w:lvl>
    <w:lvl w:ilvl="5" w:tplc="892E2E76" w:tentative="1">
      <w:start w:val="1"/>
      <w:numFmt w:val="lowerRoman"/>
      <w:lvlText w:val="%6."/>
      <w:lvlJc w:val="right"/>
      <w:pPr>
        <w:ind w:left="4320" w:hanging="180"/>
      </w:pPr>
    </w:lvl>
    <w:lvl w:ilvl="6" w:tplc="B8EA8FD4" w:tentative="1">
      <w:start w:val="1"/>
      <w:numFmt w:val="decimal"/>
      <w:lvlText w:val="%7."/>
      <w:lvlJc w:val="left"/>
      <w:pPr>
        <w:ind w:left="5040" w:hanging="360"/>
      </w:pPr>
    </w:lvl>
    <w:lvl w:ilvl="7" w:tplc="1B284218" w:tentative="1">
      <w:start w:val="1"/>
      <w:numFmt w:val="lowerLetter"/>
      <w:lvlText w:val="%8."/>
      <w:lvlJc w:val="left"/>
      <w:pPr>
        <w:ind w:left="5760" w:hanging="360"/>
      </w:pPr>
    </w:lvl>
    <w:lvl w:ilvl="8" w:tplc="09A0978C"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1"/>
  </w:num>
  <w:num w:numId="3">
    <w:abstractNumId w:val="6"/>
  </w:num>
  <w:num w:numId="4">
    <w:abstractNumId w:val="1"/>
  </w:num>
  <w:num w:numId="5">
    <w:abstractNumId w:val="1"/>
  </w:num>
  <w:num w:numId="6">
    <w:abstractNumId w:val="6"/>
  </w:num>
  <w:num w:numId="7">
    <w:abstractNumId w:val="4"/>
  </w:num>
  <w:num w:numId="8">
    <w:abstractNumId w:val="3"/>
  </w:num>
  <w:num w:numId="9">
    <w:abstractNumId w:val="8"/>
  </w:num>
  <w:num w:numId="10">
    <w:abstractNumId w:val="7"/>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70"/>
    <w:rsid w:val="000100F3"/>
    <w:rsid w:val="00010293"/>
    <w:rsid w:val="00011FEA"/>
    <w:rsid w:val="000210F0"/>
    <w:rsid w:val="0002558E"/>
    <w:rsid w:val="00033868"/>
    <w:rsid w:val="00056D3B"/>
    <w:rsid w:val="000D09ED"/>
    <w:rsid w:val="000D1D3E"/>
    <w:rsid w:val="000E25E7"/>
    <w:rsid w:val="000E674D"/>
    <w:rsid w:val="000F09FC"/>
    <w:rsid w:val="00105A97"/>
    <w:rsid w:val="00120CDF"/>
    <w:rsid w:val="0013355C"/>
    <w:rsid w:val="00141C72"/>
    <w:rsid w:val="001432C6"/>
    <w:rsid w:val="00180041"/>
    <w:rsid w:val="001A0E65"/>
    <w:rsid w:val="001A3239"/>
    <w:rsid w:val="001D551A"/>
    <w:rsid w:val="001F28AD"/>
    <w:rsid w:val="0021430D"/>
    <w:rsid w:val="00231379"/>
    <w:rsid w:val="00246A65"/>
    <w:rsid w:val="0027775A"/>
    <w:rsid w:val="002A40AD"/>
    <w:rsid w:val="002A4DB9"/>
    <w:rsid w:val="002D4CC2"/>
    <w:rsid w:val="002E01EA"/>
    <w:rsid w:val="002E01FE"/>
    <w:rsid w:val="002F3A5D"/>
    <w:rsid w:val="00306FA4"/>
    <w:rsid w:val="00323A85"/>
    <w:rsid w:val="00351ECF"/>
    <w:rsid w:val="00382076"/>
    <w:rsid w:val="003833F0"/>
    <w:rsid w:val="003940BB"/>
    <w:rsid w:val="003A7C2D"/>
    <w:rsid w:val="003B46F5"/>
    <w:rsid w:val="003D678D"/>
    <w:rsid w:val="004033DA"/>
    <w:rsid w:val="0041507F"/>
    <w:rsid w:val="00416D44"/>
    <w:rsid w:val="004321E3"/>
    <w:rsid w:val="00475D6D"/>
    <w:rsid w:val="004A79D0"/>
    <w:rsid w:val="004C7AE5"/>
    <w:rsid w:val="004D4C1F"/>
    <w:rsid w:val="004E3A76"/>
    <w:rsid w:val="00507A72"/>
    <w:rsid w:val="00543BE0"/>
    <w:rsid w:val="0054775D"/>
    <w:rsid w:val="00563AFC"/>
    <w:rsid w:val="005655C5"/>
    <w:rsid w:val="00586C90"/>
    <w:rsid w:val="0059261D"/>
    <w:rsid w:val="005B3B3E"/>
    <w:rsid w:val="005C6A5C"/>
    <w:rsid w:val="005D6A58"/>
    <w:rsid w:val="00634CDE"/>
    <w:rsid w:val="00641DD6"/>
    <w:rsid w:val="00684224"/>
    <w:rsid w:val="006C0D7E"/>
    <w:rsid w:val="00702B23"/>
    <w:rsid w:val="00715DE1"/>
    <w:rsid w:val="0073258A"/>
    <w:rsid w:val="0075657E"/>
    <w:rsid w:val="00764C27"/>
    <w:rsid w:val="007856B2"/>
    <w:rsid w:val="00795E02"/>
    <w:rsid w:val="007C5148"/>
    <w:rsid w:val="007D526C"/>
    <w:rsid w:val="0082532A"/>
    <w:rsid w:val="008619BB"/>
    <w:rsid w:val="008A1BF0"/>
    <w:rsid w:val="008A4870"/>
    <w:rsid w:val="008C1913"/>
    <w:rsid w:val="008E67E4"/>
    <w:rsid w:val="008F5855"/>
    <w:rsid w:val="00902520"/>
    <w:rsid w:val="0094370A"/>
    <w:rsid w:val="00956292"/>
    <w:rsid w:val="00970608"/>
    <w:rsid w:val="009871B4"/>
    <w:rsid w:val="00995F15"/>
    <w:rsid w:val="009A5CDA"/>
    <w:rsid w:val="009B7DC9"/>
    <w:rsid w:val="009D6DD0"/>
    <w:rsid w:val="00A11232"/>
    <w:rsid w:val="00A1131A"/>
    <w:rsid w:val="00A4388E"/>
    <w:rsid w:val="00A80FE6"/>
    <w:rsid w:val="00A95132"/>
    <w:rsid w:val="00A9632A"/>
    <w:rsid w:val="00AA3A2B"/>
    <w:rsid w:val="00AB7664"/>
    <w:rsid w:val="00AC7A94"/>
    <w:rsid w:val="00AD0505"/>
    <w:rsid w:val="00AF3C84"/>
    <w:rsid w:val="00AF406B"/>
    <w:rsid w:val="00B02ED9"/>
    <w:rsid w:val="00B04020"/>
    <w:rsid w:val="00B301A0"/>
    <w:rsid w:val="00BE07DB"/>
    <w:rsid w:val="00BE13CD"/>
    <w:rsid w:val="00BF4BC3"/>
    <w:rsid w:val="00C745FA"/>
    <w:rsid w:val="00C8510B"/>
    <w:rsid w:val="00C854B7"/>
    <w:rsid w:val="00CD0851"/>
    <w:rsid w:val="00CE50A2"/>
    <w:rsid w:val="00D00597"/>
    <w:rsid w:val="00D25D69"/>
    <w:rsid w:val="00D4082C"/>
    <w:rsid w:val="00D44BFF"/>
    <w:rsid w:val="00D509BA"/>
    <w:rsid w:val="00D62A8F"/>
    <w:rsid w:val="00D67C5A"/>
    <w:rsid w:val="00D72B3E"/>
    <w:rsid w:val="00D84CE5"/>
    <w:rsid w:val="00D860BB"/>
    <w:rsid w:val="00DC488F"/>
    <w:rsid w:val="00DD286C"/>
    <w:rsid w:val="00E46848"/>
    <w:rsid w:val="00E835D1"/>
    <w:rsid w:val="00EA7E45"/>
    <w:rsid w:val="00EC4937"/>
    <w:rsid w:val="00F0103F"/>
    <w:rsid w:val="00F2317D"/>
    <w:rsid w:val="00F410FF"/>
    <w:rsid w:val="00F4214B"/>
    <w:rsid w:val="00F65929"/>
    <w:rsid w:val="00F73721"/>
    <w:rsid w:val="00F85257"/>
    <w:rsid w:val="00F8764A"/>
    <w:rsid w:val="00FB1EB5"/>
    <w:rsid w:val="00FB5B2C"/>
    <w:rsid w:val="00FD70AC"/>
    <w:rsid w:val="00FE4DFC"/>
    <w:rsid w:val="00FF524A"/>
    <w:rsid w:val="00FF7FE4"/>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59FD7EB"/>
    <w:rsid w:val="37CC6C5B"/>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0FD7"/>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level2" w:customStyle="1">
    <w:name w:val="List para level 2"/>
    <w:basedOn w:val="ListParagraph"/>
    <w:link w:val="Listparalevel2Char"/>
    <w:rsid w:val="00A11232"/>
    <w:pPr>
      <w:numPr>
        <w:ilvl w:val="1"/>
        <w:numId w:val="5"/>
      </w:numPr>
    </w:pPr>
  </w:style>
  <w:style w:type="character" w:styleId="Listparalevel2Char" w:customStyle="1">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ListParagraph"/>
    <w:rsid w:val="00A11232"/>
    <w:pPr>
      <w:numPr>
        <w:numId w:val="6"/>
      </w:numPr>
    </w:pPr>
  </w:style>
  <w:style w:type="paragraph" w:styleId="Contact" w:customStyle="1">
    <w:name w:val="Contact"/>
    <w:basedOn w:val="Normal"/>
    <w:qFormat/>
    <w:rsid w:val="00A11232"/>
    <w:pPr>
      <w:spacing w:after="0"/>
      <w:ind w:right="-425"/>
    </w:pPr>
  </w:style>
  <w:style w:type="character" w:styleId="Heading1Char" w:customStyle="1">
    <w:name w:val="Heading 1 Char"/>
    <w:aliases w:val="3 - Contact Char"/>
    <w:basedOn w:val="DefaultParagraphFont"/>
    <w:link w:val="Heading1"/>
    <w:uiPriority w:val="9"/>
    <w:rsid w:val="00120CDF"/>
    <w:rPr>
      <w:color w:val="22294D"/>
      <w:sz w:val="19"/>
      <w:lang w:val="en-US"/>
    </w:rPr>
  </w:style>
  <w:style w:type="character" w:styleId="Heading2Char" w:customStyle="1">
    <w:name w:val="Heading 2 Char"/>
    <w:aliases w:val="5 - Optional subheadline Char"/>
    <w:basedOn w:val="DefaultParagraphFont"/>
    <w:link w:val="Heading2"/>
    <w:uiPriority w:val="9"/>
    <w:rsid w:val="00120CDF"/>
    <w:rPr>
      <w:b/>
      <w:bCs/>
      <w:color w:val="22294D"/>
      <w:sz w:val="36"/>
      <w:szCs w:val="36"/>
      <w:lang w:val="en-US"/>
    </w:rPr>
  </w:style>
  <w:style w:type="character" w:styleId="Heading3Char" w:customStyle="1">
    <w:name w:val="Heading 3 Char"/>
    <w:aliases w:val="2 - Headline header Char"/>
    <w:basedOn w:val="DefaultParagraphFont"/>
    <w:link w:val="Heading3"/>
    <w:uiPriority w:val="9"/>
    <w:rsid w:val="0059261D"/>
    <w:rPr>
      <w:color w:val="FFFFFF" w:themeColor="background1"/>
      <w:sz w:val="32"/>
      <w:szCs w:val="32"/>
      <w:lang w:val="en-US"/>
    </w:rPr>
  </w:style>
  <w:style w:type="character" w:styleId="Heading4Char" w:customStyle="1">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styleId="Heading5Char" w:customStyle="1">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styleId="TitleChar" w:customStyle="1">
    <w:name w:val="Title Char"/>
    <w:aliases w:val="6 - Position Char"/>
    <w:basedOn w:val="DefaultParagraphFont"/>
    <w:link w:val="Title"/>
    <w:uiPriority w:val="10"/>
    <w:rsid w:val="00EA7E45"/>
    <w:rPr>
      <w:i/>
      <w:color w:val="22294D"/>
      <w:sz w:val="19"/>
      <w:lang w:val="en-US"/>
    </w:rPr>
  </w:style>
  <w:style w:type="character" w:styleId="ListParagraphChar" w:customStyle="1">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styleId="HeaderChar" w:customStyle="1">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styleId="FooterChar" w:customStyle="1">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C1913"/>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8C1913"/>
  </w:style>
  <w:style w:type="character" w:styleId="eop" w:customStyle="1">
    <w:name w:val="eop"/>
    <w:basedOn w:val="DefaultParagraphFont"/>
    <w:rsid w:val="008C1913"/>
  </w:style>
  <w:style w:type="character" w:styleId="scxw95617525" w:customStyle="1">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color w:val="22294D"/>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54B7"/>
    <w:rPr>
      <w:b/>
      <w:bCs/>
    </w:rPr>
  </w:style>
  <w:style w:type="character" w:styleId="CommentSubjectChar" w:customStyle="1">
    <w:name w:val="Comment Subject Char"/>
    <w:basedOn w:val="CommentTextChar"/>
    <w:link w:val="CommentSubject"/>
    <w:uiPriority w:val="99"/>
    <w:semiHidden/>
    <w:rsid w:val="00C854B7"/>
    <w:rPr>
      <w:b/>
      <w:bCs/>
      <w:color w:val="22294D"/>
      <w:sz w:val="20"/>
      <w:szCs w:val="20"/>
      <w:lang w:val="en-US"/>
    </w:rPr>
  </w:style>
  <w:style w:type="paragraph" w:styleId="Revision">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4801-BFEB-4E31-9A10-6BF9DF528943}"/>
</file>

<file path=customXml/itemProps2.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24a01684-1a2a-406c-9800-227e6ea0d198"/>
    <ds:schemaRef ds:uri="b46b0888-3a4a-41d6-b186-0947ac4cbdb1"/>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7A355E69-8730-4810-A7C0-39642C0EFFE8}">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GARCIA GOMEZ Matilde</ap:Manager>
  <ap:Company>European Food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creator>GARCIA GOMEZ Matilde</dc:creator>
  <lastModifiedBy>Barabucci, Claudia</lastModifiedBy>
  <revision>3</revision>
  <dcterms:created xsi:type="dcterms:W3CDTF">2025-03-26T15:42:00.0000000Z</dcterms:created>
  <dcterms:modified xsi:type="dcterms:W3CDTF">2025-03-29T12:34:50.6498858Z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