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D65E" w14:textId="77777777" w:rsidR="008776C0" w:rsidRDefault="00592969" w:rsidP="00592969">
      <w:pPr>
        <w:rPr>
          <w:rFonts w:ascii="Calibri" w:hAnsi="Calibri" w:cs="Calibri"/>
          <w:b/>
          <w:bCs/>
          <w:lang w:val="fr-FR"/>
        </w:rPr>
      </w:pPr>
      <w:r>
        <w:rPr>
          <w:rFonts w:ascii="Calibri" w:hAnsi="Calibri" w:cs="Calibri"/>
          <w:b/>
          <w:bCs/>
          <w:sz w:val="36"/>
          <w:szCs w:val="36"/>
          <w:lang w:val="fr-FR"/>
        </w:rPr>
        <w:t>COMMUNIQUÉ DE PRESSE</w:t>
      </w:r>
      <w:r>
        <w:rPr>
          <w:rFonts w:ascii="Calibri" w:hAnsi="Calibri" w:cs="Calibri"/>
          <w:b/>
          <w:bCs/>
          <w:sz w:val="36"/>
          <w:szCs w:val="36"/>
          <w:lang w:val="fr-FR"/>
        </w:rPr>
        <w:tab/>
      </w:r>
      <w:r>
        <w:rPr>
          <w:rFonts w:ascii="Calibri" w:hAnsi="Calibri" w:cs="Calibri"/>
          <w:b/>
          <w:bCs/>
          <w:lang w:val="fr-FR"/>
        </w:rPr>
        <w:tab/>
      </w:r>
      <w:r>
        <w:rPr>
          <w:rFonts w:ascii="Calibri" w:hAnsi="Calibri" w:cs="Calibri"/>
          <w:b/>
          <w:bCs/>
          <w:lang w:val="fr-FR"/>
        </w:rPr>
        <w:tab/>
      </w:r>
      <w:r>
        <w:rPr>
          <w:rFonts w:ascii="Calibri" w:hAnsi="Calibri" w:cs="Calibri"/>
          <w:b/>
          <w:bCs/>
          <w:lang w:val="fr-FR"/>
        </w:rPr>
        <w:tab/>
      </w:r>
      <w:r>
        <w:rPr>
          <w:rFonts w:ascii="Calibri" w:hAnsi="Calibri" w:cs="Calibri"/>
          <w:b/>
          <w:bCs/>
          <w:lang w:val="fr-FR"/>
        </w:rPr>
        <w:tab/>
      </w:r>
      <w:r>
        <w:rPr>
          <w:rFonts w:ascii="Calibri" w:hAnsi="Calibri" w:cs="Calibri"/>
          <w:b/>
          <w:bCs/>
          <w:lang w:val="fr-FR"/>
        </w:rPr>
        <w:tab/>
      </w:r>
    </w:p>
    <w:p w14:paraId="62AC6C6F" w14:textId="235167E1" w:rsidR="00592969" w:rsidRPr="001F48AF" w:rsidRDefault="00592969" w:rsidP="00592969">
      <w:pPr>
        <w:rPr>
          <w:rFonts w:ascii="Calibri" w:hAnsi="Calibri" w:cs="Calibri"/>
          <w:b/>
          <w:bCs/>
          <w:lang w:val="fr-LU"/>
        </w:rPr>
      </w:pPr>
      <w:r>
        <w:rPr>
          <w:rFonts w:ascii="Calibri" w:hAnsi="Calibri" w:cs="Calibri"/>
          <w:b/>
          <w:bCs/>
          <w:sz w:val="28"/>
          <w:szCs w:val="28"/>
          <w:lang w:val="fr-FR"/>
        </w:rPr>
        <w:t>Pour diffusion immédiate</w:t>
      </w:r>
    </w:p>
    <w:p w14:paraId="0BC8C86D" w14:textId="77777777" w:rsidR="00592969" w:rsidRPr="001F48AF" w:rsidRDefault="00592969" w:rsidP="00592969">
      <w:pPr>
        <w:rPr>
          <w:rFonts w:ascii="Calibri" w:hAnsi="Calibri" w:cs="Calibri"/>
          <w:lang w:val="fr-LU"/>
        </w:rPr>
      </w:pPr>
    </w:p>
    <w:p w14:paraId="359E2234" w14:textId="60E6725D" w:rsidR="00D61AC5" w:rsidRPr="001F48AF" w:rsidRDefault="00D61AC5" w:rsidP="002C508D">
      <w:pPr>
        <w:jc w:val="both"/>
        <w:rPr>
          <w:rFonts w:ascii="Calibri" w:hAnsi="Calibri" w:cs="Calibri"/>
          <w:b/>
          <w:bCs/>
          <w:sz w:val="28"/>
          <w:szCs w:val="28"/>
          <w:lang w:val="fr-LU"/>
        </w:rPr>
      </w:pPr>
      <w:r w:rsidRPr="22C4FBCD">
        <w:rPr>
          <w:rFonts w:ascii="Calibri" w:hAnsi="Calibri" w:cs="Calibri"/>
          <w:b/>
          <w:bCs/>
          <w:sz w:val="28"/>
          <w:szCs w:val="28"/>
          <w:lang w:val="fr-FR"/>
        </w:rPr>
        <w:t>Campagne</w:t>
      </w:r>
      <w:r w:rsidR="7B24AA46" w:rsidRPr="22C4FBCD">
        <w:rPr>
          <w:rFonts w:ascii="Calibri" w:hAnsi="Calibri" w:cs="Calibri"/>
          <w:b/>
          <w:bCs/>
          <w:sz w:val="28"/>
          <w:szCs w:val="28"/>
          <w:lang w:val="fr-FR"/>
        </w:rPr>
        <w:t xml:space="preserve"> « Safe</w:t>
      </w:r>
      <w:r w:rsidRPr="22C4FBCD">
        <w:rPr>
          <w:rFonts w:ascii="Calibri" w:hAnsi="Calibri" w:cs="Calibri"/>
          <w:b/>
          <w:bCs/>
          <w:sz w:val="28"/>
          <w:szCs w:val="28"/>
          <w:lang w:val="fr-FR"/>
        </w:rPr>
        <w:t>2</w:t>
      </w:r>
      <w:proofErr w:type="gramStart"/>
      <w:r w:rsidRPr="22C4FBCD">
        <w:rPr>
          <w:rFonts w:ascii="Calibri" w:hAnsi="Calibri" w:cs="Calibri"/>
          <w:b/>
          <w:bCs/>
          <w:sz w:val="28"/>
          <w:szCs w:val="28"/>
          <w:lang w:val="fr-FR"/>
        </w:rPr>
        <w:t>Eat»</w:t>
      </w:r>
      <w:proofErr w:type="gramEnd"/>
      <w:r w:rsidRPr="22C4FBCD">
        <w:rPr>
          <w:rFonts w:ascii="Calibri" w:hAnsi="Calibri" w:cs="Calibri"/>
          <w:b/>
          <w:bCs/>
          <w:sz w:val="28"/>
          <w:szCs w:val="28"/>
          <w:lang w:val="fr-FR"/>
        </w:rPr>
        <w:t xml:space="preserve"> 2024: </w:t>
      </w:r>
      <w:r w:rsidR="006076D5" w:rsidRPr="22C4FBCD">
        <w:rPr>
          <w:rFonts w:ascii="Calibri" w:hAnsi="Calibri" w:cs="Calibri"/>
          <w:b/>
          <w:bCs/>
          <w:sz w:val="28"/>
          <w:szCs w:val="28"/>
          <w:lang w:val="fr-FR"/>
        </w:rPr>
        <w:t xml:space="preserve">responsabiliser </w:t>
      </w:r>
      <w:r w:rsidRPr="22C4FBCD">
        <w:rPr>
          <w:rFonts w:ascii="Calibri" w:hAnsi="Calibri" w:cs="Calibri"/>
          <w:b/>
          <w:bCs/>
          <w:sz w:val="28"/>
          <w:szCs w:val="28"/>
          <w:lang w:val="fr-FR"/>
        </w:rPr>
        <w:t xml:space="preserve">les consommateurs à travers l’Europe </w:t>
      </w:r>
    </w:p>
    <w:p w14:paraId="17E7F764" w14:textId="63846679" w:rsidR="00CA3BBE" w:rsidRDefault="005E1509" w:rsidP="002C508D">
      <w:pPr>
        <w:jc w:val="both"/>
        <w:rPr>
          <w:rFonts w:ascii="Calibri" w:hAnsi="Calibri" w:cs="Calibri"/>
          <w:b/>
          <w:bCs/>
          <w:sz w:val="24"/>
          <w:szCs w:val="24"/>
          <w:lang w:val="fr-FR"/>
        </w:rPr>
      </w:pPr>
      <w:proofErr w:type="gramStart"/>
      <w:r>
        <w:rPr>
          <w:rFonts w:ascii="Calibri" w:hAnsi="Calibri" w:cs="Calibri"/>
          <w:b/>
          <w:bCs/>
          <w:sz w:val="24"/>
          <w:szCs w:val="24"/>
          <w:lang w:val="fr-FR"/>
        </w:rPr>
        <w:t>l’EFSA</w:t>
      </w:r>
      <w:proofErr w:type="gramEnd"/>
      <w:r>
        <w:rPr>
          <w:rFonts w:ascii="Calibri" w:hAnsi="Calibri" w:cs="Calibri"/>
          <w:b/>
          <w:bCs/>
          <w:sz w:val="24"/>
          <w:szCs w:val="24"/>
          <w:lang w:val="fr-FR"/>
        </w:rPr>
        <w:t xml:space="preserve"> </w:t>
      </w:r>
      <w:r w:rsidR="00057A83">
        <w:rPr>
          <w:rFonts w:ascii="Calibri" w:hAnsi="Calibri" w:cs="Calibri"/>
          <w:b/>
          <w:bCs/>
          <w:sz w:val="24"/>
          <w:szCs w:val="24"/>
          <w:lang w:val="fr-FR"/>
        </w:rPr>
        <w:t xml:space="preserve">avec son partenaire luxembourgeois, </w:t>
      </w:r>
      <w:r w:rsidR="000B73A3">
        <w:rPr>
          <w:rFonts w:ascii="Calibri" w:hAnsi="Calibri" w:cs="Calibri"/>
          <w:b/>
          <w:bCs/>
          <w:sz w:val="24"/>
          <w:szCs w:val="24"/>
          <w:lang w:val="fr-FR"/>
        </w:rPr>
        <w:t>l’</w:t>
      </w:r>
      <w:r w:rsidR="005B4DBC">
        <w:rPr>
          <w:rFonts w:ascii="Calibri" w:hAnsi="Calibri" w:cs="Calibri"/>
          <w:b/>
          <w:bCs/>
          <w:sz w:val="24"/>
          <w:szCs w:val="24"/>
          <w:lang w:val="fr-FR"/>
        </w:rPr>
        <w:t>Administration luxembourgeoise vétérinaire et alimentaire</w:t>
      </w:r>
      <w:r w:rsidR="00056613">
        <w:rPr>
          <w:rFonts w:ascii="Calibri" w:hAnsi="Calibri" w:cs="Calibri"/>
          <w:b/>
          <w:bCs/>
          <w:sz w:val="24"/>
          <w:szCs w:val="24"/>
          <w:lang w:val="fr-FR"/>
        </w:rPr>
        <w:t xml:space="preserve"> (ALVA)</w:t>
      </w:r>
      <w:r w:rsidR="00CA3BBE">
        <w:rPr>
          <w:rFonts w:ascii="Calibri" w:hAnsi="Calibri" w:cs="Calibri"/>
          <w:b/>
          <w:bCs/>
          <w:sz w:val="24"/>
          <w:szCs w:val="24"/>
          <w:lang w:val="fr-FR"/>
        </w:rPr>
        <w:t>,</w:t>
      </w:r>
      <w:r w:rsidR="00056613">
        <w:rPr>
          <w:rFonts w:ascii="Calibri" w:hAnsi="Calibri" w:cs="Calibri"/>
          <w:b/>
          <w:bCs/>
          <w:sz w:val="24"/>
          <w:szCs w:val="24"/>
          <w:lang w:val="fr-FR"/>
        </w:rPr>
        <w:t xml:space="preserve"> </w:t>
      </w:r>
      <w:r w:rsidR="00CA3BBE">
        <w:rPr>
          <w:rFonts w:ascii="Calibri" w:hAnsi="Calibri" w:cs="Calibri"/>
          <w:b/>
          <w:bCs/>
          <w:sz w:val="24"/>
          <w:szCs w:val="24"/>
          <w:lang w:val="fr-FR"/>
        </w:rPr>
        <w:t xml:space="preserve">s’engagent ensemble à </w:t>
      </w:r>
      <w:r w:rsidR="00B46A95">
        <w:rPr>
          <w:b/>
          <w:bCs/>
          <w:color w:val="000000" w:themeColor="text1"/>
          <w:lang w:val="fr-FR"/>
        </w:rPr>
        <w:t>aider les consommateurs</w:t>
      </w:r>
      <w:r w:rsidR="00B46A95">
        <w:rPr>
          <w:rFonts w:ascii="Calibri" w:hAnsi="Calibri"/>
          <w:b/>
          <w:bCs/>
          <w:lang w:val="fr-FR"/>
        </w:rPr>
        <w:t xml:space="preserve"> à prendre des décisions éclairées concernant leurs choix alimentaires</w:t>
      </w:r>
      <w:r w:rsidR="009C59AB">
        <w:rPr>
          <w:rFonts w:ascii="Calibri" w:hAnsi="Calibri"/>
          <w:b/>
          <w:bCs/>
          <w:lang w:val="fr-FR"/>
        </w:rPr>
        <w:t>.</w:t>
      </w:r>
    </w:p>
    <w:p w14:paraId="4DB04D24" w14:textId="77777777" w:rsidR="005E1509" w:rsidRPr="001F48AF" w:rsidRDefault="005E1509" w:rsidP="002C508D">
      <w:pPr>
        <w:jc w:val="both"/>
        <w:rPr>
          <w:rFonts w:ascii="Calibri" w:hAnsi="Calibri" w:cs="Calibri"/>
          <w:b/>
          <w:bCs/>
          <w:sz w:val="24"/>
          <w:szCs w:val="24"/>
          <w:lang w:val="fr-LU"/>
        </w:rPr>
      </w:pPr>
    </w:p>
    <w:p w14:paraId="29E21E23" w14:textId="70EB0106" w:rsidR="00592969" w:rsidRPr="001F48AF" w:rsidRDefault="00F52F66" w:rsidP="002C508D">
      <w:pPr>
        <w:jc w:val="both"/>
        <w:rPr>
          <w:rFonts w:ascii="Calibri" w:hAnsi="Calibri" w:cs="Calibri"/>
          <w:lang w:val="fr-LU"/>
        </w:rPr>
      </w:pPr>
      <w:r>
        <w:rPr>
          <w:rFonts w:ascii="Calibri" w:hAnsi="Calibri" w:cs="Calibri"/>
          <w:b/>
          <w:bCs/>
          <w:lang w:val="fr-FR"/>
        </w:rPr>
        <w:t>Luxembourg,</w:t>
      </w:r>
      <w:r w:rsidR="00FA62EA">
        <w:rPr>
          <w:rFonts w:ascii="Calibri" w:hAnsi="Calibri" w:cs="Calibri"/>
          <w:lang w:val="fr-FR"/>
        </w:rPr>
        <w:t> </w:t>
      </w:r>
      <w:r w:rsidR="00FA62EA">
        <w:rPr>
          <w:rFonts w:ascii="Calibri" w:hAnsi="Calibri" w:cs="Calibri"/>
          <w:b/>
          <w:bCs/>
          <w:lang w:val="fr-FR"/>
        </w:rPr>
        <w:t>mai</w:t>
      </w:r>
      <w:r w:rsidR="00FA62EA">
        <w:rPr>
          <w:rFonts w:ascii="Calibri" w:hAnsi="Calibri" w:cs="Calibri"/>
          <w:lang w:val="fr-FR"/>
        </w:rPr>
        <w:t> </w:t>
      </w:r>
      <w:r w:rsidR="00FA62EA">
        <w:rPr>
          <w:rFonts w:ascii="Calibri" w:hAnsi="Calibri" w:cs="Calibri"/>
          <w:b/>
          <w:bCs/>
          <w:lang w:val="fr-FR"/>
        </w:rPr>
        <w:t>2024</w:t>
      </w:r>
      <w:r w:rsidR="00FA62EA">
        <w:rPr>
          <w:rFonts w:ascii="Calibri" w:hAnsi="Calibri" w:cs="Calibri"/>
          <w:lang w:val="fr-FR"/>
        </w:rPr>
        <w:t xml:space="preserve"> – S’appuyant sur le succès des trois éditions précédentes, l’Autorité européenne de sécurité des aliments (EFSA) et ses partenaires dans les États membres de l’UE ont lancé la campagne Safe2Eat 2024. </w:t>
      </w:r>
      <w:r w:rsidR="00330AB8">
        <w:rPr>
          <w:rFonts w:ascii="Calibri" w:hAnsi="Calibri" w:cs="Calibri"/>
          <w:lang w:val="fr-FR"/>
        </w:rPr>
        <w:t>Cette année, l</w:t>
      </w:r>
      <w:r>
        <w:rPr>
          <w:rFonts w:ascii="Calibri" w:hAnsi="Calibri" w:cs="Calibri"/>
          <w:lang w:val="fr-FR"/>
        </w:rPr>
        <w:t xml:space="preserve">e Luxembourg </w:t>
      </w:r>
      <w:r w:rsidR="00AD1EF2">
        <w:rPr>
          <w:rFonts w:ascii="Calibri" w:hAnsi="Calibri" w:cs="Calibri"/>
          <w:lang w:val="fr-FR"/>
        </w:rPr>
        <w:t xml:space="preserve">rejoint la campagne pour la première fois avec </w:t>
      </w:r>
      <w:r w:rsidR="00330AB8">
        <w:rPr>
          <w:rFonts w:ascii="Calibri" w:hAnsi="Calibri" w:cs="Calibri"/>
          <w:lang w:val="fr-FR"/>
        </w:rPr>
        <w:t>l’</w:t>
      </w:r>
      <w:r w:rsidR="00AD1EF2">
        <w:rPr>
          <w:rFonts w:ascii="Calibri" w:hAnsi="Calibri" w:cs="Calibri"/>
          <w:lang w:val="fr-FR"/>
        </w:rPr>
        <w:t>Administration luxembourgeoise vétérinaire et alimentaire.</w:t>
      </w:r>
    </w:p>
    <w:p w14:paraId="47C073C0" w14:textId="1E01912C" w:rsidR="00672DC9" w:rsidRPr="001F48AF" w:rsidRDefault="00672DC9" w:rsidP="002C508D">
      <w:pPr>
        <w:jc w:val="both"/>
        <w:rPr>
          <w:rFonts w:ascii="Calibri" w:hAnsi="Calibri" w:cs="Calibri"/>
          <w:lang w:val="fr-LU"/>
        </w:rPr>
      </w:pPr>
      <w:r w:rsidRPr="22C4FBCD">
        <w:rPr>
          <w:rFonts w:ascii="Calibri" w:hAnsi="Calibri"/>
          <w:b/>
          <w:bCs/>
          <w:lang w:val="fr-FR"/>
        </w:rPr>
        <w:t>18</w:t>
      </w:r>
      <w:r w:rsidRPr="22C4FBCD">
        <w:rPr>
          <w:rFonts w:ascii="Calibri" w:hAnsi="Calibri"/>
          <w:lang w:val="fr-FR"/>
        </w:rPr>
        <w:t> </w:t>
      </w:r>
      <w:r w:rsidRPr="22C4FBCD">
        <w:rPr>
          <w:rFonts w:ascii="Calibri" w:hAnsi="Calibri"/>
          <w:b/>
          <w:bCs/>
          <w:lang w:val="fr-FR"/>
        </w:rPr>
        <w:t>pays s</w:t>
      </w:r>
      <w:r w:rsidR="009354F4" w:rsidRPr="22C4FBCD">
        <w:rPr>
          <w:rFonts w:ascii="Calibri" w:hAnsi="Calibri"/>
          <w:b/>
          <w:bCs/>
          <w:lang w:val="fr-FR"/>
        </w:rPr>
        <w:t xml:space="preserve">e sont </w:t>
      </w:r>
      <w:r w:rsidRPr="22C4FBCD">
        <w:rPr>
          <w:rFonts w:ascii="Calibri" w:hAnsi="Calibri"/>
          <w:b/>
          <w:bCs/>
          <w:lang w:val="fr-FR"/>
        </w:rPr>
        <w:t>associ</w:t>
      </w:r>
      <w:r w:rsidR="009354F4" w:rsidRPr="22C4FBCD">
        <w:rPr>
          <w:rFonts w:ascii="Calibri" w:hAnsi="Calibri"/>
          <w:b/>
          <w:bCs/>
          <w:lang w:val="fr-FR"/>
        </w:rPr>
        <w:t>és</w:t>
      </w:r>
      <w:r w:rsidRPr="22C4FBCD">
        <w:rPr>
          <w:rFonts w:ascii="Calibri" w:hAnsi="Calibri"/>
          <w:b/>
          <w:bCs/>
          <w:lang w:val="fr-FR"/>
        </w:rPr>
        <w:t xml:space="preserve"> à la campagne</w:t>
      </w:r>
      <w:r w:rsidRPr="22C4FBCD">
        <w:rPr>
          <w:rFonts w:ascii="Calibri" w:hAnsi="Calibri"/>
          <w:lang w:val="fr-FR"/>
        </w:rPr>
        <w:t xml:space="preserve">. Les pays participants à l’édition 2024 sont </w:t>
      </w:r>
      <w:r w:rsidR="3CFC559E" w:rsidRPr="22C4FBCD">
        <w:rPr>
          <w:rFonts w:ascii="Calibri" w:hAnsi="Calibri"/>
          <w:lang w:val="fr-FR"/>
        </w:rPr>
        <w:t xml:space="preserve">le Luxembourg, </w:t>
      </w:r>
      <w:r w:rsidRPr="22C4FBCD">
        <w:rPr>
          <w:rFonts w:ascii="Calibri" w:hAnsi="Calibri"/>
          <w:lang w:val="fr-FR"/>
        </w:rPr>
        <w:t>la Roumanie, la Tchéquie, la Hongrie, la Grèce, l’Estonie, la Croatie, l’Italie, la Lettonie, Chypre, la Slovénie, l’Espagne, la Slovaquie, l’Autriche, la Pologne, le Portugal, l’Irlande et la Macédoine du Nord.</w:t>
      </w:r>
    </w:p>
    <w:p w14:paraId="4481C296" w14:textId="77777777" w:rsidR="001A4CD7" w:rsidRPr="001F48AF" w:rsidRDefault="001A4CD7" w:rsidP="76DE3348">
      <w:pPr>
        <w:jc w:val="both"/>
        <w:rPr>
          <w:rFonts w:ascii="Calibri" w:hAnsi="Calibri" w:cs="Calibri"/>
          <w:b/>
          <w:bCs/>
          <w:lang w:val="fr-LU"/>
        </w:rPr>
      </w:pPr>
      <w:r>
        <w:rPr>
          <w:rFonts w:ascii="Calibri" w:hAnsi="Calibri" w:cs="Calibri"/>
          <w:b/>
          <w:bCs/>
          <w:lang w:val="fr-FR"/>
        </w:rPr>
        <w:t>Permettre aux consommateurs de faire des choix en toute confiance</w:t>
      </w:r>
    </w:p>
    <w:p w14:paraId="5E8F4F3C" w14:textId="14ED28B3" w:rsidR="001A4CD7" w:rsidRPr="001F48AF" w:rsidRDefault="001A4CD7" w:rsidP="76DE3348">
      <w:pPr>
        <w:jc w:val="both"/>
        <w:rPr>
          <w:rFonts w:ascii="Calibri" w:hAnsi="Calibri" w:cs="Calibri"/>
          <w:lang w:val="fr-LU"/>
        </w:rPr>
      </w:pPr>
      <w:r>
        <w:rPr>
          <w:rFonts w:ascii="Calibri" w:hAnsi="Calibri" w:cs="Calibri"/>
          <w:lang w:val="fr-FR"/>
        </w:rPr>
        <w:t>Une étude menée par l’EFSA en collaboration avec I</w:t>
      </w:r>
      <w:r w:rsidR="003E67D7">
        <w:rPr>
          <w:rFonts w:ascii="Calibri" w:hAnsi="Calibri" w:cs="Calibri"/>
          <w:lang w:val="fr-FR"/>
        </w:rPr>
        <w:t>psos</w:t>
      </w:r>
      <w:r w:rsidR="003155E5">
        <w:rPr>
          <w:rFonts w:ascii="Calibri" w:hAnsi="Calibri" w:cs="Calibri"/>
          <w:lang w:val="fr-FR"/>
        </w:rPr>
        <w:t xml:space="preserve"> (</w:t>
      </w:r>
      <w:r w:rsidR="003155E5" w:rsidRPr="001F48AF">
        <w:rPr>
          <w:rStyle w:val="cf01"/>
          <w:lang w:val="fr-FR"/>
        </w:rPr>
        <w:t>entreprise de sondages</w:t>
      </w:r>
      <w:r w:rsidR="003155E5">
        <w:rPr>
          <w:rStyle w:val="cf01"/>
          <w:lang w:val="fr-FR"/>
        </w:rPr>
        <w:t>)</w:t>
      </w:r>
      <w:r>
        <w:rPr>
          <w:rFonts w:ascii="Calibri" w:hAnsi="Calibri" w:cs="Calibri"/>
          <w:lang w:val="fr-FR"/>
        </w:rPr>
        <w:t xml:space="preserve"> en 2023 a révélé que près de </w:t>
      </w:r>
      <w:r>
        <w:rPr>
          <w:rFonts w:ascii="Calibri" w:hAnsi="Calibri" w:cs="Calibri"/>
          <w:b/>
          <w:bCs/>
          <w:lang w:val="fr-FR"/>
        </w:rPr>
        <w:t>70</w:t>
      </w:r>
      <w:r>
        <w:rPr>
          <w:rFonts w:ascii="Calibri" w:hAnsi="Calibri" w:cs="Calibri"/>
          <w:lang w:val="fr-FR"/>
        </w:rPr>
        <w:t> </w:t>
      </w:r>
      <w:r>
        <w:rPr>
          <w:rFonts w:ascii="Calibri" w:hAnsi="Calibri" w:cs="Calibri"/>
          <w:b/>
          <w:bCs/>
          <w:lang w:val="fr-FR"/>
        </w:rPr>
        <w:t>% des Européens s’intéressent à la sécurité alimentaire</w:t>
      </w:r>
      <w:r>
        <w:rPr>
          <w:rFonts w:ascii="Calibri" w:hAnsi="Calibri" w:cs="Calibri"/>
          <w:lang w:val="fr-FR"/>
        </w:rPr>
        <w:t xml:space="preserve">. Cependant, environ </w:t>
      </w:r>
      <w:r>
        <w:rPr>
          <w:rFonts w:ascii="Calibri" w:hAnsi="Calibri" w:cs="Calibri"/>
          <w:b/>
          <w:bCs/>
          <w:lang w:val="fr-FR"/>
        </w:rPr>
        <w:t>60</w:t>
      </w:r>
      <w:r>
        <w:rPr>
          <w:rFonts w:ascii="Calibri" w:hAnsi="Calibri" w:cs="Calibri"/>
          <w:lang w:val="fr-FR"/>
        </w:rPr>
        <w:t> </w:t>
      </w:r>
      <w:r>
        <w:rPr>
          <w:rFonts w:ascii="Calibri" w:hAnsi="Calibri" w:cs="Calibri"/>
          <w:b/>
          <w:bCs/>
          <w:lang w:val="fr-FR"/>
        </w:rPr>
        <w:t>% d’entre eux estiment que les informations relatives à la sécurité alimentaire sont trop techniques</w:t>
      </w:r>
      <w:r>
        <w:rPr>
          <w:rFonts w:ascii="Calibri" w:hAnsi="Calibri" w:cs="Calibri"/>
          <w:lang w:val="fr-FR"/>
        </w:rPr>
        <w:t xml:space="preserve"> et difficiles à comprendre. En réponse, cette nouvelle édition vise à communiquer autour de la science sur laquelle repose notre alimentation, d’une manière claire, précise, rassurante et compréhensible. L’objectif est de permettre aux citoyens de prendre des décisions éclairées concernant leur consommation alimentaire, pour que leurs choix quotidiens riment avec sécurité et santé.</w:t>
      </w:r>
    </w:p>
    <w:p w14:paraId="15B82789" w14:textId="283CAC22" w:rsidR="00592969" w:rsidRPr="001F48AF" w:rsidRDefault="00592969" w:rsidP="002C508D">
      <w:pPr>
        <w:jc w:val="both"/>
        <w:rPr>
          <w:rFonts w:ascii="Calibri" w:hAnsi="Calibri" w:cs="Calibri"/>
          <w:lang w:val="fr-LU"/>
        </w:rPr>
      </w:pPr>
      <w:r>
        <w:rPr>
          <w:rFonts w:ascii="Calibri" w:hAnsi="Calibri" w:cs="Calibri"/>
          <w:lang w:val="fr-FR"/>
        </w:rPr>
        <w:t>Sous la bannière #Safe2Eat</w:t>
      </w:r>
      <w:r w:rsidR="00C7335F">
        <w:rPr>
          <w:rFonts w:ascii="Calibri" w:hAnsi="Calibri" w:cs="Calibri"/>
          <w:lang w:val="fr-FR"/>
        </w:rPr>
        <w:t>EU</w:t>
      </w:r>
      <w:r>
        <w:rPr>
          <w:rFonts w:ascii="Calibri" w:hAnsi="Calibri" w:cs="Calibri"/>
          <w:lang w:val="fr-FR"/>
        </w:rPr>
        <w:t>, la campagne continue à se concentrer sur l’éducation des citoyens sur les différents aspects de la sécurité alimentaire. Il s’agit notamment des intoxications alimentaires, des bonnes techniques de manipulation des aliments</w:t>
      </w:r>
      <w:r w:rsidR="00957DA2">
        <w:rPr>
          <w:rFonts w:ascii="Calibri" w:hAnsi="Calibri" w:cs="Calibri"/>
          <w:lang w:val="fr-FR"/>
        </w:rPr>
        <w:t xml:space="preserve"> et</w:t>
      </w:r>
      <w:r w:rsidR="002C6886">
        <w:rPr>
          <w:rFonts w:ascii="Calibri" w:hAnsi="Calibri" w:cs="Calibri"/>
          <w:lang w:val="fr-FR"/>
        </w:rPr>
        <w:t xml:space="preserve"> </w:t>
      </w:r>
      <w:r>
        <w:rPr>
          <w:rFonts w:ascii="Calibri" w:hAnsi="Calibri" w:cs="Calibri"/>
          <w:lang w:val="fr-FR"/>
        </w:rPr>
        <w:t xml:space="preserve">de l’importance de lire les étiquettes des produits alimentaires </w:t>
      </w:r>
    </w:p>
    <w:p w14:paraId="7EDF0D93" w14:textId="1D5FEAF1" w:rsidR="00592969" w:rsidRPr="001F48AF" w:rsidRDefault="00592969" w:rsidP="002C508D">
      <w:pPr>
        <w:jc w:val="both"/>
        <w:rPr>
          <w:rFonts w:ascii="Calibri" w:hAnsi="Calibri" w:cs="Calibri"/>
          <w:lang w:val="fr-LU"/>
        </w:rPr>
      </w:pPr>
      <w:r>
        <w:rPr>
          <w:rFonts w:ascii="Calibri" w:hAnsi="Calibri" w:cs="Calibri"/>
          <w:lang w:val="fr-FR"/>
        </w:rPr>
        <w:t>La campagne souligne également l’importance de la sécurité des compléments alimentaires et de la nécessité de prouver scientifiquement les allégations de santé concernant les produits alimentaires. En outre, elle cherche à sensibiliser à la sécurité des additifs alimentaires et des nouveaux aliments, ainsi qu’à la présence d’allergènes alimentaires.</w:t>
      </w:r>
    </w:p>
    <w:p w14:paraId="270387A9" w14:textId="2C50A690" w:rsidR="00592969" w:rsidRPr="001F48AF" w:rsidRDefault="00592969" w:rsidP="76DE3348">
      <w:pPr>
        <w:jc w:val="both"/>
        <w:rPr>
          <w:rFonts w:ascii="Calibri" w:hAnsi="Calibri" w:cs="Calibri"/>
          <w:lang w:val="fr-LU"/>
        </w:rPr>
      </w:pPr>
      <w:proofErr w:type="gramStart"/>
      <w:r>
        <w:rPr>
          <w:rFonts w:ascii="Calibri" w:hAnsi="Calibri" w:cs="Calibri"/>
          <w:lang w:val="fr-FR"/>
        </w:rPr>
        <w:t>«</w:t>
      </w:r>
      <w:r>
        <w:rPr>
          <w:rFonts w:ascii="Calibri" w:hAnsi="Calibri" w:cs="Calibri"/>
          <w:i/>
          <w:iCs/>
          <w:lang w:val="fr-FR"/>
        </w:rPr>
        <w:t>Dans</w:t>
      </w:r>
      <w:proofErr w:type="gramEnd"/>
      <w:r>
        <w:rPr>
          <w:rFonts w:ascii="Calibri" w:hAnsi="Calibri" w:cs="Calibri"/>
          <w:i/>
          <w:iCs/>
          <w:lang w:val="fr-FR"/>
        </w:rPr>
        <w:t xml:space="preserve"> toute l’Europe, les citoyens choisissent chaque jour ce qu’ils achètent et ce qu’ils mangent, en tenant compte de divers facteurs tels que le coût, le goût, la durabilité ou l’origine des aliments</w:t>
      </w:r>
      <w:r>
        <w:rPr>
          <w:rFonts w:ascii="Calibri" w:hAnsi="Calibri" w:cs="Calibri"/>
          <w:lang w:val="fr-FR"/>
        </w:rPr>
        <w:t>.</w:t>
      </w:r>
      <w:r>
        <w:rPr>
          <w:rFonts w:ascii="Calibri" w:hAnsi="Calibri" w:cs="Calibri"/>
          <w:i/>
          <w:iCs/>
          <w:lang w:val="fr-FR"/>
        </w:rPr>
        <w:t xml:space="preserve"> Grâce aux normes élevées de sécurité alimentaire en vigueur dans l’UE, ils peuvent être assurés que, quels que soient leurs choix, les aliments qu’ils achètent et consomment sont sûrs. La campagne #Safe2Eat</w:t>
      </w:r>
      <w:r w:rsidR="00AD5B77">
        <w:rPr>
          <w:rFonts w:ascii="Calibri" w:hAnsi="Calibri" w:cs="Calibri"/>
          <w:i/>
          <w:iCs/>
          <w:lang w:val="fr-FR"/>
        </w:rPr>
        <w:t>EU</w:t>
      </w:r>
      <w:r>
        <w:rPr>
          <w:rFonts w:ascii="Calibri" w:hAnsi="Calibri" w:cs="Calibri"/>
          <w:i/>
          <w:iCs/>
          <w:lang w:val="fr-FR"/>
        </w:rPr>
        <w:t xml:space="preserve"> vise à faire le lien entre les fondements scientifiques de la sécurité alimentaire et les aliments qui se trouvent dans l’assiette </w:t>
      </w:r>
      <w:r>
        <w:rPr>
          <w:rFonts w:ascii="Calibri" w:hAnsi="Calibri" w:cs="Calibri"/>
          <w:i/>
          <w:iCs/>
          <w:lang w:val="fr-FR"/>
        </w:rPr>
        <w:lastRenderedPageBreak/>
        <w:t>des consommateurs en</w:t>
      </w:r>
      <w:r>
        <w:rPr>
          <w:rFonts w:ascii="Calibri" w:hAnsi="Calibri" w:cs="Calibri"/>
          <w:i/>
          <w:iCs/>
          <w:color w:val="000000" w:themeColor="text1"/>
          <w:lang w:val="fr-FR"/>
        </w:rPr>
        <w:t xml:space="preserve"> leur</w:t>
      </w:r>
      <w:r w:rsidR="00DF078D">
        <w:rPr>
          <w:rFonts w:ascii="Calibri" w:hAnsi="Calibri" w:cs="Calibri"/>
          <w:i/>
          <w:iCs/>
          <w:color w:val="000000" w:themeColor="text1"/>
          <w:lang w:val="fr-FR"/>
        </w:rPr>
        <w:t xml:space="preserve"> permettant</w:t>
      </w:r>
      <w:r>
        <w:rPr>
          <w:rFonts w:ascii="Calibri" w:hAnsi="Calibri" w:cs="Calibri"/>
          <w:i/>
          <w:iCs/>
          <w:lang w:val="fr-FR"/>
        </w:rPr>
        <w:t xml:space="preserve"> de faire des choix alimentaires en toute </w:t>
      </w:r>
      <w:proofErr w:type="gramStart"/>
      <w:r>
        <w:rPr>
          <w:rFonts w:ascii="Calibri" w:hAnsi="Calibri" w:cs="Calibri"/>
          <w:i/>
          <w:iCs/>
          <w:lang w:val="fr-FR"/>
        </w:rPr>
        <w:t>confiance»</w:t>
      </w:r>
      <w:proofErr w:type="gramEnd"/>
      <w:r>
        <w:rPr>
          <w:rFonts w:ascii="Calibri" w:hAnsi="Calibri" w:cs="Calibri"/>
          <w:lang w:val="fr-FR"/>
        </w:rPr>
        <w:t>, a déclaré Bernhard Url, directeur exécutif de l’EFSA.</w:t>
      </w:r>
    </w:p>
    <w:p w14:paraId="23219DE4" w14:textId="77777777" w:rsidR="00592969" w:rsidRPr="001F48AF" w:rsidRDefault="00592969" w:rsidP="002C508D">
      <w:pPr>
        <w:jc w:val="both"/>
        <w:rPr>
          <w:rFonts w:ascii="Calibri" w:hAnsi="Calibri" w:cs="Calibri"/>
          <w:lang w:val="fr-LU"/>
        </w:rPr>
      </w:pPr>
      <w:r>
        <w:rPr>
          <w:rFonts w:ascii="Calibri" w:hAnsi="Calibri" w:cs="Calibri"/>
          <w:b/>
          <w:bCs/>
          <w:lang w:val="fr-FR"/>
        </w:rPr>
        <w:t>Pour de plus amples informations</w:t>
      </w:r>
      <w:r>
        <w:rPr>
          <w:rFonts w:ascii="Calibri" w:hAnsi="Calibri" w:cs="Calibri"/>
          <w:lang w:val="fr-FR"/>
        </w:rPr>
        <w:t xml:space="preserve"> </w:t>
      </w:r>
    </w:p>
    <w:p w14:paraId="24CD1E2E" w14:textId="4347F912" w:rsidR="0070641B" w:rsidRDefault="0070641B" w:rsidP="002C508D">
      <w:pPr>
        <w:jc w:val="both"/>
        <w:rPr>
          <w:rFonts w:ascii="Calibri" w:hAnsi="Calibri" w:cs="Calibri"/>
          <w:lang w:val="fr-FR"/>
        </w:rPr>
      </w:pPr>
      <w:r>
        <w:rPr>
          <w:rFonts w:ascii="Calibri" w:hAnsi="Calibri" w:cs="Calibri"/>
          <w:lang w:val="fr-FR"/>
        </w:rPr>
        <w:t xml:space="preserve">Alors que la campagne 2024 démarre, des initiatives sont mises en place aux niveaux européen et national dans les 18 pays participants. Les citoyens sont invités à consulter le site web </w:t>
      </w:r>
      <w:hyperlink r:id="rId7" w:history="1">
        <w:r w:rsidR="00C37102" w:rsidRPr="0081448C">
          <w:rPr>
            <w:rStyle w:val="Lienhypertexte"/>
            <w:rFonts w:ascii="Calibri" w:hAnsi="Calibri" w:cs="Calibri"/>
            <w:lang w:val="fr-FR"/>
          </w:rPr>
          <w:t>https://www.efsa.europa.eu/luFR/safe2eat</w:t>
        </w:r>
      </w:hyperlink>
      <w:r w:rsidR="002A0293" w:rsidRPr="001F48AF">
        <w:rPr>
          <w:rFonts w:ascii="Arial" w:hAnsi="Arial" w:cs="Arial"/>
          <w:sz w:val="20"/>
          <w:szCs w:val="20"/>
          <w:lang w:val="fr-FR"/>
        </w:rPr>
        <w:t xml:space="preserve"> </w:t>
      </w:r>
      <w:r>
        <w:rPr>
          <w:rFonts w:ascii="Calibri" w:hAnsi="Calibri" w:cs="Calibri"/>
          <w:lang w:val="fr-FR"/>
        </w:rPr>
        <w:t>pour obtenir des informations complètes sur la sécurité alimentaire.</w:t>
      </w:r>
    </w:p>
    <w:p w14:paraId="0A00A48C" w14:textId="77777777" w:rsidR="000D7DE4" w:rsidRPr="007E704E" w:rsidRDefault="000D7DE4" w:rsidP="002C508D">
      <w:pPr>
        <w:jc w:val="both"/>
        <w:rPr>
          <w:rFonts w:ascii="Calibri" w:hAnsi="Calibri" w:cs="Calibri"/>
          <w:lang w:val="fr-FR"/>
        </w:rPr>
      </w:pPr>
    </w:p>
    <w:p w14:paraId="2DE23E3C" w14:textId="77777777" w:rsidR="0070641B" w:rsidRPr="001F48AF" w:rsidRDefault="0070641B" w:rsidP="002C508D">
      <w:pPr>
        <w:jc w:val="both"/>
        <w:rPr>
          <w:rFonts w:ascii="Calibri" w:hAnsi="Calibri" w:cs="Calibri"/>
          <w:b/>
          <w:bCs/>
          <w:lang w:val="fr-LU"/>
        </w:rPr>
      </w:pPr>
      <w:r>
        <w:rPr>
          <w:rFonts w:ascii="Calibri" w:hAnsi="Calibri" w:cs="Calibri"/>
          <w:b/>
          <w:bCs/>
          <w:lang w:val="fr-FR"/>
        </w:rPr>
        <w:t>À propos de l’EFSA</w:t>
      </w:r>
    </w:p>
    <w:p w14:paraId="5B7A4090" w14:textId="77777777" w:rsidR="0070641B" w:rsidRPr="001F48AF" w:rsidRDefault="0070641B" w:rsidP="002C508D">
      <w:pPr>
        <w:jc w:val="both"/>
        <w:rPr>
          <w:rFonts w:ascii="Calibri" w:hAnsi="Calibri" w:cs="Calibri"/>
          <w:lang w:val="fr-LU"/>
        </w:rPr>
      </w:pPr>
      <w:r>
        <w:rPr>
          <w:rFonts w:ascii="Calibri" w:hAnsi="Calibri" w:cs="Calibri"/>
          <w:lang w:val="fr-FR"/>
        </w:rPr>
        <w:t>L’Autorité européenne de sécurité des aliments (EFSA) est une agence de l’Union européenne créée en 2002 dans le but de servir de source impartiale d’avis scientifiques pour les gestionnaires des risques et de communiquer sur les risques associés à la chaîne alimentaire.</w:t>
      </w:r>
    </w:p>
    <w:p w14:paraId="1F8857C2" w14:textId="68EDEB46" w:rsidR="0070641B" w:rsidRPr="001F48AF" w:rsidRDefault="0070641B" w:rsidP="002C508D">
      <w:pPr>
        <w:jc w:val="both"/>
        <w:rPr>
          <w:rFonts w:ascii="Calibri" w:hAnsi="Calibri" w:cs="Calibri"/>
          <w:lang w:val="fr-LU"/>
        </w:rPr>
      </w:pPr>
      <w:r>
        <w:rPr>
          <w:rFonts w:ascii="Calibri" w:hAnsi="Calibri" w:cs="Calibri"/>
          <w:lang w:val="fr-FR"/>
        </w:rPr>
        <w:t>Elle coopère avec les parties intéressées pour promouvoir la cohérence des conseils scientifiques de l’UE et fournit la base scientifique pour les lois et les règlements visant à protéger les consommateurs européens des risques liés à l’alimentation, et ce, de la ferme à la table.</w:t>
      </w:r>
    </w:p>
    <w:p w14:paraId="08BEA618" w14:textId="77777777" w:rsidR="000D7DE4" w:rsidRPr="001F48AF" w:rsidRDefault="000D7DE4" w:rsidP="000D7DE4">
      <w:pPr>
        <w:jc w:val="both"/>
        <w:rPr>
          <w:rFonts w:ascii="Calibri" w:hAnsi="Calibri" w:cs="Calibri"/>
          <w:b/>
          <w:bCs/>
          <w:lang w:val="fr-FR"/>
        </w:rPr>
      </w:pPr>
      <w:r w:rsidRPr="001F48AF">
        <w:rPr>
          <w:rFonts w:ascii="Calibri" w:hAnsi="Calibri" w:cs="Calibri"/>
          <w:b/>
          <w:bCs/>
          <w:lang w:val="fr-FR"/>
        </w:rPr>
        <w:t>A propos de l’ALVA</w:t>
      </w:r>
    </w:p>
    <w:p w14:paraId="18D38AAC" w14:textId="1E67C20B" w:rsidR="000D7DE4" w:rsidRPr="001F48AF" w:rsidRDefault="006F3D1F" w:rsidP="001F48AF">
      <w:pPr>
        <w:autoSpaceDE w:val="0"/>
        <w:autoSpaceDN w:val="0"/>
        <w:adjustRightInd w:val="0"/>
        <w:spacing w:after="0" w:line="240" w:lineRule="auto"/>
        <w:rPr>
          <w:rFonts w:ascii="Calibri" w:hAnsi="Calibri" w:cs="Calibri"/>
          <w:kern w:val="0"/>
          <w:lang w:val="fr-FR"/>
        </w:rPr>
      </w:pPr>
      <w:r>
        <w:rPr>
          <w:rFonts w:ascii="Calibri" w:hAnsi="Calibri" w:cs="Calibri"/>
          <w:kern w:val="0"/>
          <w:lang w:val="fr-FR"/>
        </w:rPr>
        <w:t>L</w:t>
      </w:r>
      <w:r w:rsidRPr="0079416C">
        <w:rPr>
          <w:rFonts w:ascii="Calibri" w:hAnsi="Calibri" w:cs="Calibri"/>
          <w:kern w:val="0"/>
          <w:lang w:val="fr-FR"/>
        </w:rPr>
        <w:t xml:space="preserve">’ALVA </w:t>
      </w:r>
      <w:proofErr w:type="gramStart"/>
      <w:r w:rsidRPr="0079416C">
        <w:rPr>
          <w:rFonts w:ascii="Calibri" w:hAnsi="Calibri" w:cs="Calibri"/>
          <w:kern w:val="0"/>
          <w:lang w:val="fr-FR"/>
        </w:rPr>
        <w:t>est  le</w:t>
      </w:r>
      <w:proofErr w:type="gramEnd"/>
      <w:r w:rsidRPr="0079416C">
        <w:rPr>
          <w:rFonts w:ascii="Calibri" w:hAnsi="Calibri" w:cs="Calibri"/>
          <w:kern w:val="0"/>
          <w:lang w:val="fr-FR"/>
        </w:rPr>
        <w:t xml:space="preserve"> point de contact unique pour les établissements du secteur alimentaire ainsi que pour les consommateurs.</w:t>
      </w:r>
      <w:r>
        <w:rPr>
          <w:rFonts w:ascii="Calibri" w:hAnsi="Calibri" w:cs="Calibri"/>
          <w:kern w:val="0"/>
          <w:lang w:val="fr-FR"/>
        </w:rPr>
        <w:t xml:space="preserve"> </w:t>
      </w:r>
      <w:r w:rsidR="004022CB" w:rsidRPr="001F48AF">
        <w:rPr>
          <w:rFonts w:ascii="Calibri" w:hAnsi="Calibri" w:cs="Calibri"/>
          <w:kern w:val="0"/>
          <w:lang w:val="fr-FR"/>
        </w:rPr>
        <w:t>L’</w:t>
      </w:r>
      <w:r w:rsidR="00B0664D">
        <w:rPr>
          <w:rFonts w:ascii="Calibri" w:hAnsi="Calibri" w:cs="Calibri"/>
          <w:kern w:val="0"/>
          <w:lang w:val="fr-FR"/>
        </w:rPr>
        <w:t>ALVA</w:t>
      </w:r>
      <w:r w:rsidR="004022CB" w:rsidRPr="001F48AF">
        <w:rPr>
          <w:rFonts w:ascii="Calibri" w:hAnsi="Calibri" w:cs="Calibri"/>
          <w:color w:val="4D5156"/>
          <w:shd w:val="clear" w:color="auto" w:fill="FFFFFF"/>
          <w:lang w:val="fr-LU"/>
        </w:rPr>
        <w:t xml:space="preserve"> est</w:t>
      </w:r>
      <w:r w:rsidR="002A0293">
        <w:rPr>
          <w:rFonts w:ascii="Calibri" w:hAnsi="Calibri" w:cs="Calibri"/>
          <w:kern w:val="0"/>
          <w:lang w:val="fr-FR"/>
        </w:rPr>
        <w:t xml:space="preserve"> </w:t>
      </w:r>
      <w:r w:rsidR="004022CB" w:rsidRPr="001F48AF">
        <w:rPr>
          <w:rFonts w:ascii="Calibri" w:hAnsi="Calibri" w:cs="Calibri"/>
          <w:kern w:val="0"/>
          <w:lang w:val="fr-FR"/>
        </w:rPr>
        <w:t>en charge des contrôles de la chaîne alimentaire, y compris les</w:t>
      </w:r>
      <w:r w:rsidR="002A0293">
        <w:rPr>
          <w:rFonts w:ascii="Calibri" w:hAnsi="Calibri" w:cs="Calibri"/>
          <w:kern w:val="0"/>
          <w:lang w:val="fr-FR"/>
        </w:rPr>
        <w:t xml:space="preserve"> </w:t>
      </w:r>
      <w:r w:rsidR="004022CB" w:rsidRPr="001F48AF">
        <w:rPr>
          <w:rFonts w:ascii="Calibri" w:hAnsi="Calibri" w:cs="Calibri"/>
          <w:kern w:val="0"/>
          <w:lang w:val="fr-FR"/>
        </w:rPr>
        <w:t xml:space="preserve">contrôles vétérinaires </w:t>
      </w:r>
      <w:r w:rsidR="00B0664D">
        <w:rPr>
          <w:rFonts w:ascii="Calibri" w:hAnsi="Calibri" w:cs="Calibri"/>
          <w:kern w:val="0"/>
          <w:lang w:val="fr-FR"/>
        </w:rPr>
        <w:t xml:space="preserve">de la santé et du bien-être des animaux </w:t>
      </w:r>
      <w:r w:rsidR="004022CB" w:rsidRPr="001F48AF">
        <w:rPr>
          <w:rFonts w:ascii="Calibri" w:hAnsi="Calibri" w:cs="Calibri"/>
          <w:kern w:val="0"/>
          <w:lang w:val="fr-FR"/>
        </w:rPr>
        <w:t>et contrôles des aliments pour animaux</w:t>
      </w:r>
      <w:r w:rsidR="006133EE">
        <w:rPr>
          <w:rFonts w:ascii="Calibri" w:hAnsi="Calibri" w:cs="Calibri"/>
          <w:kern w:val="0"/>
          <w:lang w:val="fr-FR"/>
        </w:rPr>
        <w:t xml:space="preserve">. </w:t>
      </w:r>
    </w:p>
    <w:p w14:paraId="5A6655E3" w14:textId="77777777" w:rsidR="006F3D1F" w:rsidRDefault="006F3D1F" w:rsidP="002C508D">
      <w:pPr>
        <w:jc w:val="both"/>
        <w:rPr>
          <w:rFonts w:ascii="Calibri" w:hAnsi="Calibri" w:cs="Calibri"/>
          <w:b/>
          <w:bCs/>
          <w:lang w:val="fr-FR"/>
        </w:rPr>
      </w:pPr>
    </w:p>
    <w:p w14:paraId="112E2C45" w14:textId="2C2D2161" w:rsidR="00592969" w:rsidRPr="001F48AF" w:rsidRDefault="00592969" w:rsidP="002C508D">
      <w:pPr>
        <w:jc w:val="both"/>
        <w:rPr>
          <w:rFonts w:ascii="Calibri" w:hAnsi="Calibri" w:cs="Calibri"/>
          <w:lang w:val="fr-LU"/>
        </w:rPr>
      </w:pPr>
      <w:r>
        <w:rPr>
          <w:rFonts w:ascii="Calibri" w:hAnsi="Calibri" w:cs="Calibri"/>
          <w:b/>
          <w:bCs/>
          <w:lang w:val="fr-FR"/>
        </w:rPr>
        <w:t>Contact</w:t>
      </w:r>
    </w:p>
    <w:p w14:paraId="61E9F4AC" w14:textId="77777777" w:rsidR="00AE5127" w:rsidRDefault="00592969" w:rsidP="008E7DEA">
      <w:pPr>
        <w:rPr>
          <w:rFonts w:ascii="Calibri" w:eastAsia="Verdana" w:hAnsi="Calibri" w:cs="Calibri"/>
          <w:lang w:val="fr-FR"/>
        </w:rPr>
      </w:pPr>
      <w:r>
        <w:rPr>
          <w:rFonts w:ascii="Calibri" w:eastAsia="Verdana" w:hAnsi="Calibri" w:cs="Calibri"/>
          <w:lang w:val="fr-FR"/>
        </w:rPr>
        <w:t>Pour les demandes d’informations de la part des médias, veuillez</w:t>
      </w:r>
      <w:r w:rsidR="008E7DEA">
        <w:rPr>
          <w:rFonts w:ascii="Calibri" w:eastAsia="Verdana" w:hAnsi="Calibri" w:cs="Calibri"/>
          <w:lang w:val="fr-FR"/>
        </w:rPr>
        <w:t xml:space="preserve"> </w:t>
      </w:r>
      <w:r>
        <w:rPr>
          <w:rFonts w:ascii="Calibri" w:eastAsia="Verdana" w:hAnsi="Calibri" w:cs="Calibri"/>
          <w:lang w:val="fr-FR"/>
        </w:rPr>
        <w:t>contacter</w:t>
      </w:r>
      <w:r w:rsidR="008E7DEA">
        <w:rPr>
          <w:rFonts w:ascii="Calibri" w:eastAsia="Verdana" w:hAnsi="Calibri" w:cs="Calibri"/>
          <w:lang w:val="fr-FR"/>
        </w:rPr>
        <w:t xml:space="preserve"> : </w:t>
      </w:r>
    </w:p>
    <w:p w14:paraId="7C8ED5FE" w14:textId="675C51F5" w:rsidR="008E7DEA" w:rsidRPr="00DF078D" w:rsidRDefault="00000000" w:rsidP="008E7DEA">
      <w:pPr>
        <w:rPr>
          <w:lang w:val="fr-FR"/>
        </w:rPr>
      </w:pPr>
      <w:hyperlink r:id="rId8" w:history="1">
        <w:r w:rsidR="00AE5127" w:rsidRPr="00AE5127">
          <w:rPr>
            <w:lang w:val="fr-LU"/>
          </w:rPr>
          <w:t xml:space="preserve"> </w:t>
        </w:r>
        <w:proofErr w:type="gramStart"/>
        <w:r w:rsidR="00AE5127" w:rsidRPr="00AE5127">
          <w:rPr>
            <w:rStyle w:val="Lienhypertexte"/>
            <w:lang w:val="fr-FR"/>
          </w:rPr>
          <w:t>communication</w:t>
        </w:r>
        <w:proofErr w:type="gramEnd"/>
        <w:r w:rsidR="00AE5127" w:rsidRPr="00AE5127">
          <w:rPr>
            <w:rStyle w:val="Lienhypertexte"/>
            <w:lang w:val="fr-FR"/>
          </w:rPr>
          <w:t xml:space="preserve"> </w:t>
        </w:r>
        <w:r w:rsidR="008E7DEA" w:rsidRPr="00DF078D">
          <w:rPr>
            <w:rStyle w:val="Lienhypertexte"/>
            <w:lang w:val="fr-FR"/>
          </w:rPr>
          <w:t>@alva.etat.lu</w:t>
        </w:r>
      </w:hyperlink>
    </w:p>
    <w:p w14:paraId="0EB47081" w14:textId="77777777" w:rsidR="008E7DEA" w:rsidRPr="00BD5D6B" w:rsidRDefault="008E7DEA" w:rsidP="008E7DEA">
      <w:pPr>
        <w:rPr>
          <w:lang w:val="de-DE"/>
        </w:rPr>
      </w:pPr>
      <w:proofErr w:type="spellStart"/>
      <w:r>
        <w:rPr>
          <w:lang w:val="de-DE"/>
        </w:rPr>
        <w:t>Tél</w:t>
      </w:r>
      <w:proofErr w:type="spellEnd"/>
      <w:r>
        <w:rPr>
          <w:lang w:val="de-DE"/>
        </w:rPr>
        <w:t xml:space="preserve">: +00352 </w:t>
      </w:r>
      <w:r w:rsidRPr="00A04994">
        <w:rPr>
          <w:lang w:val="de-DE"/>
        </w:rPr>
        <w:t>247-82555</w:t>
      </w:r>
    </w:p>
    <w:p w14:paraId="0C1DC585" w14:textId="3B4CC8AD" w:rsidR="005B4DBC" w:rsidRPr="001F48AF" w:rsidRDefault="005B4DBC" w:rsidP="008E7DEA">
      <w:pPr>
        <w:rPr>
          <w:rFonts w:ascii="Arial" w:hAnsi="Arial" w:cs="Arial"/>
          <w:color w:val="4D5156"/>
          <w:sz w:val="21"/>
          <w:szCs w:val="21"/>
          <w:shd w:val="clear" w:color="auto" w:fill="FFFFFF"/>
          <w:lang w:val="fr-LU"/>
        </w:rPr>
      </w:pPr>
    </w:p>
    <w:p w14:paraId="53F022B7" w14:textId="1148FF14" w:rsidR="001C4840" w:rsidRPr="001F48AF" w:rsidRDefault="001C4840" w:rsidP="00E6480E">
      <w:pPr>
        <w:jc w:val="both"/>
        <w:rPr>
          <w:rFonts w:ascii="Calibri" w:hAnsi="Calibri" w:cs="Calibri"/>
          <w:lang w:val="fr-LU"/>
        </w:rPr>
      </w:pPr>
    </w:p>
    <w:sectPr w:rsidR="001C4840" w:rsidRPr="001F4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969"/>
    <w:rsid w:val="00016F3C"/>
    <w:rsid w:val="00056613"/>
    <w:rsid w:val="00057A83"/>
    <w:rsid w:val="000668F5"/>
    <w:rsid w:val="000B73A3"/>
    <w:rsid w:val="000C7AC2"/>
    <w:rsid w:val="000D7DE4"/>
    <w:rsid w:val="000F0CE1"/>
    <w:rsid w:val="00102936"/>
    <w:rsid w:val="00113DAB"/>
    <w:rsid w:val="001737EB"/>
    <w:rsid w:val="00192FEA"/>
    <w:rsid w:val="001A4CD7"/>
    <w:rsid w:val="001C1893"/>
    <w:rsid w:val="001C4840"/>
    <w:rsid w:val="001C7DF1"/>
    <w:rsid w:val="001F48AF"/>
    <w:rsid w:val="00204B47"/>
    <w:rsid w:val="00234461"/>
    <w:rsid w:val="00234808"/>
    <w:rsid w:val="002611C7"/>
    <w:rsid w:val="0027278E"/>
    <w:rsid w:val="002A0293"/>
    <w:rsid w:val="002C508D"/>
    <w:rsid w:val="002C6886"/>
    <w:rsid w:val="002E2296"/>
    <w:rsid w:val="002E7A71"/>
    <w:rsid w:val="003029D4"/>
    <w:rsid w:val="003031A1"/>
    <w:rsid w:val="00307081"/>
    <w:rsid w:val="00310DBE"/>
    <w:rsid w:val="003155E5"/>
    <w:rsid w:val="00330AB8"/>
    <w:rsid w:val="00336E75"/>
    <w:rsid w:val="003605E3"/>
    <w:rsid w:val="00371832"/>
    <w:rsid w:val="00380F9F"/>
    <w:rsid w:val="0038360E"/>
    <w:rsid w:val="0038574D"/>
    <w:rsid w:val="0039534F"/>
    <w:rsid w:val="003A6D5A"/>
    <w:rsid w:val="003E67D7"/>
    <w:rsid w:val="004022CB"/>
    <w:rsid w:val="0041344B"/>
    <w:rsid w:val="0044141E"/>
    <w:rsid w:val="00441752"/>
    <w:rsid w:val="00442C65"/>
    <w:rsid w:val="004C649D"/>
    <w:rsid w:val="005072BC"/>
    <w:rsid w:val="00556824"/>
    <w:rsid w:val="00592969"/>
    <w:rsid w:val="00593C91"/>
    <w:rsid w:val="005A795A"/>
    <w:rsid w:val="005B4DBC"/>
    <w:rsid w:val="005C1971"/>
    <w:rsid w:val="005E1509"/>
    <w:rsid w:val="005F1972"/>
    <w:rsid w:val="006076D5"/>
    <w:rsid w:val="006133EE"/>
    <w:rsid w:val="00642F6A"/>
    <w:rsid w:val="00655B71"/>
    <w:rsid w:val="00672DC9"/>
    <w:rsid w:val="006772C6"/>
    <w:rsid w:val="00687EBB"/>
    <w:rsid w:val="006D6A4A"/>
    <w:rsid w:val="006F3D1F"/>
    <w:rsid w:val="0070641B"/>
    <w:rsid w:val="0072150F"/>
    <w:rsid w:val="00763FDF"/>
    <w:rsid w:val="00787DE1"/>
    <w:rsid w:val="007E704E"/>
    <w:rsid w:val="007F21E7"/>
    <w:rsid w:val="00812A35"/>
    <w:rsid w:val="00824845"/>
    <w:rsid w:val="0083498D"/>
    <w:rsid w:val="008776C0"/>
    <w:rsid w:val="008B2F42"/>
    <w:rsid w:val="008C113C"/>
    <w:rsid w:val="008E7DEA"/>
    <w:rsid w:val="00900CD7"/>
    <w:rsid w:val="009354F4"/>
    <w:rsid w:val="00944C6F"/>
    <w:rsid w:val="00944E48"/>
    <w:rsid w:val="00953076"/>
    <w:rsid w:val="00957DA2"/>
    <w:rsid w:val="00974370"/>
    <w:rsid w:val="009C59AB"/>
    <w:rsid w:val="009E42CF"/>
    <w:rsid w:val="00A04C82"/>
    <w:rsid w:val="00A41178"/>
    <w:rsid w:val="00AC0889"/>
    <w:rsid w:val="00AC0B9B"/>
    <w:rsid w:val="00AD1EF2"/>
    <w:rsid w:val="00AD5B77"/>
    <w:rsid w:val="00AE5127"/>
    <w:rsid w:val="00AF33DA"/>
    <w:rsid w:val="00B0664D"/>
    <w:rsid w:val="00B07A01"/>
    <w:rsid w:val="00B42A1F"/>
    <w:rsid w:val="00B46A95"/>
    <w:rsid w:val="00B63236"/>
    <w:rsid w:val="00BF4174"/>
    <w:rsid w:val="00C20250"/>
    <w:rsid w:val="00C2197C"/>
    <w:rsid w:val="00C336A0"/>
    <w:rsid w:val="00C37102"/>
    <w:rsid w:val="00C6345F"/>
    <w:rsid w:val="00C7335F"/>
    <w:rsid w:val="00C87B92"/>
    <w:rsid w:val="00C92496"/>
    <w:rsid w:val="00C95FE5"/>
    <w:rsid w:val="00CA3BBE"/>
    <w:rsid w:val="00CB42D5"/>
    <w:rsid w:val="00CC062E"/>
    <w:rsid w:val="00CE220A"/>
    <w:rsid w:val="00D278DE"/>
    <w:rsid w:val="00D33212"/>
    <w:rsid w:val="00D61AC5"/>
    <w:rsid w:val="00D64F2B"/>
    <w:rsid w:val="00D81F1B"/>
    <w:rsid w:val="00DC7035"/>
    <w:rsid w:val="00DF078D"/>
    <w:rsid w:val="00E0313F"/>
    <w:rsid w:val="00E07502"/>
    <w:rsid w:val="00E6480E"/>
    <w:rsid w:val="00E82D2E"/>
    <w:rsid w:val="00F05863"/>
    <w:rsid w:val="00F50468"/>
    <w:rsid w:val="00F52F66"/>
    <w:rsid w:val="00F543CE"/>
    <w:rsid w:val="00F6669E"/>
    <w:rsid w:val="00FA62EA"/>
    <w:rsid w:val="00FE5C3C"/>
    <w:rsid w:val="00FE5CBE"/>
    <w:rsid w:val="02AE201F"/>
    <w:rsid w:val="0F84524A"/>
    <w:rsid w:val="1786D444"/>
    <w:rsid w:val="1DF51046"/>
    <w:rsid w:val="22C4FBCD"/>
    <w:rsid w:val="2BEA5DB0"/>
    <w:rsid w:val="340A40FB"/>
    <w:rsid w:val="364CFC4E"/>
    <w:rsid w:val="3CFC559E"/>
    <w:rsid w:val="3E236970"/>
    <w:rsid w:val="438982E4"/>
    <w:rsid w:val="4463EF48"/>
    <w:rsid w:val="5195B300"/>
    <w:rsid w:val="56FFAA31"/>
    <w:rsid w:val="5B71876F"/>
    <w:rsid w:val="5D43FCB2"/>
    <w:rsid w:val="61162CD9"/>
    <w:rsid w:val="754262E7"/>
    <w:rsid w:val="76DE3348"/>
    <w:rsid w:val="784E11DA"/>
    <w:rsid w:val="7913CAB7"/>
    <w:rsid w:val="7B24AA46"/>
    <w:rsid w:val="7B6E5B9E"/>
    <w:rsid w:val="7BFDBE97"/>
    <w:rsid w:val="7DB599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1E12D"/>
  <w15:chartTrackingRefBased/>
  <w15:docId w15:val="{425BE360-D850-412B-B188-B98F22DB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1F"/>
  </w:style>
  <w:style w:type="paragraph" w:styleId="Titre1">
    <w:name w:val="heading 1"/>
    <w:basedOn w:val="Normal"/>
    <w:next w:val="Normal"/>
    <w:link w:val="Titre1Car"/>
    <w:uiPriority w:val="9"/>
    <w:qFormat/>
    <w:rsid w:val="00592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2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29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29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29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29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29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29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29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29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29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29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29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29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29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29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29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2969"/>
    <w:rPr>
      <w:rFonts w:eastAsiaTheme="majorEastAsia" w:cstheme="majorBidi"/>
      <w:color w:val="272727" w:themeColor="text1" w:themeTint="D8"/>
    </w:rPr>
  </w:style>
  <w:style w:type="paragraph" w:styleId="Titre">
    <w:name w:val="Title"/>
    <w:basedOn w:val="Normal"/>
    <w:next w:val="Normal"/>
    <w:link w:val="TitreCar"/>
    <w:uiPriority w:val="10"/>
    <w:qFormat/>
    <w:rsid w:val="00592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29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29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29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2969"/>
    <w:pPr>
      <w:spacing w:before="160"/>
      <w:jc w:val="center"/>
    </w:pPr>
    <w:rPr>
      <w:i/>
      <w:iCs/>
      <w:color w:val="404040" w:themeColor="text1" w:themeTint="BF"/>
    </w:rPr>
  </w:style>
  <w:style w:type="character" w:customStyle="1" w:styleId="CitationCar">
    <w:name w:val="Citation Car"/>
    <w:basedOn w:val="Policepardfaut"/>
    <w:link w:val="Citation"/>
    <w:uiPriority w:val="29"/>
    <w:rsid w:val="00592969"/>
    <w:rPr>
      <w:i/>
      <w:iCs/>
      <w:color w:val="404040" w:themeColor="text1" w:themeTint="BF"/>
    </w:rPr>
  </w:style>
  <w:style w:type="paragraph" w:styleId="Paragraphedeliste">
    <w:name w:val="List Paragraph"/>
    <w:basedOn w:val="Normal"/>
    <w:uiPriority w:val="34"/>
    <w:qFormat/>
    <w:rsid w:val="00592969"/>
    <w:pPr>
      <w:ind w:left="720"/>
      <w:contextualSpacing/>
    </w:pPr>
  </w:style>
  <w:style w:type="character" w:styleId="Accentuationintense">
    <w:name w:val="Intense Emphasis"/>
    <w:basedOn w:val="Policepardfaut"/>
    <w:uiPriority w:val="21"/>
    <w:qFormat/>
    <w:rsid w:val="00592969"/>
    <w:rPr>
      <w:i/>
      <w:iCs/>
      <w:color w:val="0F4761" w:themeColor="accent1" w:themeShade="BF"/>
    </w:rPr>
  </w:style>
  <w:style w:type="paragraph" w:styleId="Citationintense">
    <w:name w:val="Intense Quote"/>
    <w:basedOn w:val="Normal"/>
    <w:next w:val="Normal"/>
    <w:link w:val="CitationintenseCar"/>
    <w:uiPriority w:val="30"/>
    <w:qFormat/>
    <w:rsid w:val="00592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2969"/>
    <w:rPr>
      <w:i/>
      <w:iCs/>
      <w:color w:val="0F4761" w:themeColor="accent1" w:themeShade="BF"/>
    </w:rPr>
  </w:style>
  <w:style w:type="character" w:styleId="Rfrenceintense">
    <w:name w:val="Intense Reference"/>
    <w:basedOn w:val="Policepardfaut"/>
    <w:uiPriority w:val="32"/>
    <w:qFormat/>
    <w:rsid w:val="00592969"/>
    <w:rPr>
      <w:b/>
      <w:bCs/>
      <w:smallCaps/>
      <w:color w:val="0F4761" w:themeColor="accent1" w:themeShade="BF"/>
      <w:spacing w:val="5"/>
    </w:rPr>
  </w:style>
  <w:style w:type="paragraph" w:styleId="Textedebulles">
    <w:name w:val="Balloon Text"/>
    <w:basedOn w:val="Normal"/>
    <w:link w:val="TextedebullesCar"/>
    <w:uiPriority w:val="99"/>
    <w:semiHidden/>
    <w:unhideWhenUsed/>
    <w:rsid w:val="00FE5C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5C3C"/>
    <w:rPr>
      <w:rFonts w:ascii="Segoe UI" w:hAnsi="Segoe UI" w:cs="Segoe UI"/>
      <w:sz w:val="18"/>
      <w:szCs w:val="18"/>
    </w:rPr>
  </w:style>
  <w:style w:type="character" w:styleId="Marquedecommentaire">
    <w:name w:val="annotation reference"/>
    <w:basedOn w:val="Policepardfaut"/>
    <w:uiPriority w:val="99"/>
    <w:semiHidden/>
    <w:unhideWhenUsed/>
    <w:rsid w:val="00FE5C3C"/>
    <w:rPr>
      <w:sz w:val="16"/>
      <w:szCs w:val="16"/>
    </w:rPr>
  </w:style>
  <w:style w:type="paragraph" w:styleId="Commentaire">
    <w:name w:val="annotation text"/>
    <w:basedOn w:val="Normal"/>
    <w:link w:val="CommentaireCar"/>
    <w:uiPriority w:val="99"/>
    <w:unhideWhenUsed/>
    <w:rsid w:val="00FE5C3C"/>
    <w:pPr>
      <w:spacing w:line="240" w:lineRule="auto"/>
    </w:pPr>
    <w:rPr>
      <w:sz w:val="20"/>
      <w:szCs w:val="20"/>
    </w:rPr>
  </w:style>
  <w:style w:type="character" w:customStyle="1" w:styleId="CommentaireCar">
    <w:name w:val="Commentaire Car"/>
    <w:basedOn w:val="Policepardfaut"/>
    <w:link w:val="Commentaire"/>
    <w:uiPriority w:val="99"/>
    <w:rsid w:val="00FE5C3C"/>
    <w:rPr>
      <w:sz w:val="20"/>
      <w:szCs w:val="20"/>
    </w:rPr>
  </w:style>
  <w:style w:type="paragraph" w:styleId="Objetducommentaire">
    <w:name w:val="annotation subject"/>
    <w:basedOn w:val="Commentaire"/>
    <w:next w:val="Commentaire"/>
    <w:link w:val="ObjetducommentaireCar"/>
    <w:uiPriority w:val="99"/>
    <w:semiHidden/>
    <w:unhideWhenUsed/>
    <w:rsid w:val="00FE5C3C"/>
    <w:rPr>
      <w:b/>
      <w:bCs/>
    </w:rPr>
  </w:style>
  <w:style w:type="character" w:customStyle="1" w:styleId="ObjetducommentaireCar">
    <w:name w:val="Objet du commentaire Car"/>
    <w:basedOn w:val="CommentaireCar"/>
    <w:link w:val="Objetducommentaire"/>
    <w:uiPriority w:val="99"/>
    <w:semiHidden/>
    <w:rsid w:val="00FE5C3C"/>
    <w:rPr>
      <w:b/>
      <w:bCs/>
      <w:sz w:val="20"/>
      <w:szCs w:val="20"/>
    </w:rPr>
  </w:style>
  <w:style w:type="paragraph" w:styleId="Rvision">
    <w:name w:val="Revision"/>
    <w:hidden/>
    <w:uiPriority w:val="99"/>
    <w:semiHidden/>
    <w:rsid w:val="008C113C"/>
    <w:pPr>
      <w:spacing w:after="0" w:line="240" w:lineRule="auto"/>
    </w:pPr>
  </w:style>
  <w:style w:type="character" w:customStyle="1" w:styleId="Mention1">
    <w:name w:val="Mention1"/>
    <w:basedOn w:val="Policepardfaut"/>
    <w:uiPriority w:val="99"/>
    <w:unhideWhenUsed/>
    <w:rsid w:val="00900CD7"/>
    <w:rPr>
      <w:color w:val="2B579A"/>
      <w:shd w:val="clear" w:color="auto" w:fill="E6E6E6"/>
    </w:rPr>
  </w:style>
  <w:style w:type="character" w:styleId="Lienhypertexte">
    <w:name w:val="Hyperlink"/>
    <w:basedOn w:val="Policepardfaut"/>
    <w:uiPriority w:val="99"/>
    <w:unhideWhenUsed/>
    <w:rsid w:val="00E6480E"/>
    <w:rPr>
      <w:color w:val="467886" w:themeColor="hyperlink"/>
      <w:u w:val="single"/>
    </w:rPr>
  </w:style>
  <w:style w:type="character" w:styleId="Mentionnonrsolue">
    <w:name w:val="Unresolved Mention"/>
    <w:basedOn w:val="Policepardfaut"/>
    <w:uiPriority w:val="99"/>
    <w:semiHidden/>
    <w:unhideWhenUsed/>
    <w:rsid w:val="00E6480E"/>
    <w:rPr>
      <w:color w:val="605E5C"/>
      <w:shd w:val="clear" w:color="auto" w:fill="E1DFDD"/>
    </w:rPr>
  </w:style>
  <w:style w:type="character" w:customStyle="1" w:styleId="cf01">
    <w:name w:val="cf01"/>
    <w:basedOn w:val="Policepardfaut"/>
    <w:rsid w:val="003155E5"/>
    <w:rPr>
      <w:rFonts w:ascii="Segoe UI" w:hAnsi="Segoe UI" w:cs="Segoe UI" w:hint="default"/>
      <w:sz w:val="18"/>
      <w:szCs w:val="18"/>
    </w:rPr>
  </w:style>
  <w:style w:type="character" w:styleId="Lienhypertextesuivivisit">
    <w:name w:val="FollowedHyperlink"/>
    <w:basedOn w:val="Policepardfaut"/>
    <w:uiPriority w:val="99"/>
    <w:semiHidden/>
    <w:unhideWhenUsed/>
    <w:rsid w:val="008E7D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8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Fougeras@alva.etat.lu" TargetMode="External"/><Relationship Id="rId3" Type="http://schemas.openxmlformats.org/officeDocument/2006/relationships/customXml" Target="../customXml/item3.xml"/><Relationship Id="rId7" Type="http://schemas.openxmlformats.org/officeDocument/2006/relationships/hyperlink" Target="https://www.efsa.europa.eu/luFR/safe2e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BCDBD2725A44399F921C4BAD4290C" ma:contentTypeVersion="14" ma:contentTypeDescription="Create a new document." ma:contentTypeScope="" ma:versionID="d9f6db3f3d1117dadbb0672446c9f5b6">
  <xsd:schema xmlns:xsd="http://www.w3.org/2001/XMLSchema" xmlns:xs="http://www.w3.org/2001/XMLSchema" xmlns:p="http://schemas.microsoft.com/office/2006/metadata/properties" xmlns:ns2="9a7f68ee-c8d8-4614-ab12-babb42f5e991" xmlns:ns3="39250c3d-795f-4f38-a66c-82523353249e" targetNamespace="http://schemas.microsoft.com/office/2006/metadata/properties" ma:root="true" ma:fieldsID="36336661269a03b6c83e2c7307ac2082" ns2:_="" ns3:_="">
    <xsd:import namespace="9a7f68ee-c8d8-4614-ab12-babb42f5e991"/>
    <xsd:import namespace="39250c3d-795f-4f38-a66c-825233532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68ee-c8d8-4614-ab12-babb42f5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50c3d-795f-4f38-a66c-825233532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707300-0541-42b1-be14-135f00eab275}" ma:internalName="TaxCatchAll" ma:showField="CatchAllData" ma:web="39250c3d-795f-4f38-a66c-82523353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250c3d-795f-4f38-a66c-82523353249e" xsi:nil="true"/>
    <lcf76f155ced4ddcb4097134ff3c332f xmlns="9a7f68ee-c8d8-4614-ab12-babb42f5e991">
      <Terms xmlns="http://schemas.microsoft.com/office/infopath/2007/PartnerControls"/>
    </lcf76f155ced4ddcb4097134ff3c332f>
    <SharedWithUsers xmlns="39250c3d-795f-4f38-a66c-82523353249e">
      <UserInfo>
        <DisplayName>MONTI Sharon</DisplayName>
        <AccountId>14</AccountId>
        <AccountType/>
      </UserInfo>
      <UserInfo>
        <DisplayName>SMITH Anthony Ian Mark</DisplayName>
        <AccountId>27</AccountId>
        <AccountType/>
      </UserInfo>
      <UserInfo>
        <DisplayName>BELLOCCHIO Silvia</DisplayName>
        <AccountId>267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5CD7C-2401-406B-B734-345B7D7728D4}"/>
</file>

<file path=customXml/itemProps2.xml><?xml version="1.0" encoding="utf-8"?>
<ds:datastoreItem xmlns:ds="http://schemas.openxmlformats.org/officeDocument/2006/customXml" ds:itemID="{8DA00AF3-F6EC-4651-90DB-90D01BB13FDB}">
  <ds:schemaRefs>
    <ds:schemaRef ds:uri="http://schemas.microsoft.com/office/2006/metadata/properties"/>
    <ds:schemaRef ds:uri="http://schemas.microsoft.com/office/infopath/2007/PartnerControls"/>
    <ds:schemaRef ds:uri="2fc60fb2-8e5f-4517-a691-5b5c470d33ef"/>
    <ds:schemaRef ds:uri="1db1b5c2-792b-405c-bb75-61979eb014d8"/>
  </ds:schemaRefs>
</ds:datastoreItem>
</file>

<file path=customXml/itemProps3.xml><?xml version="1.0" encoding="utf-8"?>
<ds:datastoreItem xmlns:ds="http://schemas.openxmlformats.org/officeDocument/2006/customXml" ds:itemID="{3832B8EB-C730-4AB4-AADD-0DF85CE22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GOPA Consulting Group</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Richard</dc:creator>
  <cp:keywords/>
  <dc:description/>
  <cp:lastModifiedBy>nicolas lambotte</cp:lastModifiedBy>
  <cp:revision>26</cp:revision>
  <dcterms:created xsi:type="dcterms:W3CDTF">2024-05-22T06:47:00Z</dcterms:created>
  <dcterms:modified xsi:type="dcterms:W3CDTF">2024-05-24T16:42:00Z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0x010100A4ABCDBD2725A44399F921C4BAD4290C</vt:lpwstr>
  </property>
  <property fmtid="{D5CDD505-2E9C-101B-9397-08002B2CF9AE}" pid="3" name="MediaServiceImageTags">
    <vt:lpwstr/>
  </property>
  <property fmtid="{D5CDD505-2E9C-101B-9397-08002B2CF9AE}" pid="4" name="GrammarlyDocumentId">
    <vt:lpwstr>f372625b10e54bae05036eb25c87273f74e7daa846b997fc59a74aa2ea62091f</vt:lpwstr>
  </property>
</Properties>
</file>