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583F" w:rsidR="00506395" w:rsidP="00506395" w:rsidRDefault="00497377" w14:paraId="2151080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eop"/>
          <w:rFonts w:ascii="Calibri" w:hAnsi="Calibri" w:cs="Calibri"/>
          <w:color w:val="1F4E79"/>
          <w:sz w:val="36"/>
          <w:szCs w:val="36"/>
          <w:lang w:val="fi"/>
        </w:rPr>
        <w:t> </w:t>
      </w:r>
    </w:p>
    <w:p w:rsidRPr="005B583F" w:rsidR="00506395" w:rsidP="00506395" w:rsidRDefault="00497377" w14:paraId="3CAE9DB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eop"/>
          <w:rFonts w:ascii="Calibri" w:hAnsi="Calibri" w:cs="Calibri"/>
          <w:color w:val="1F4E79"/>
          <w:sz w:val="28"/>
          <w:szCs w:val="28"/>
          <w:lang w:val="fi"/>
        </w:rPr>
        <w:t> </w:t>
      </w:r>
    </w:p>
    <w:p w:rsidRPr="005B583F" w:rsidR="00506395" w:rsidP="00506395" w:rsidRDefault="00506395" w14:paraId="11E5116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  <w:lang w:val="fi-FI"/>
        </w:rPr>
      </w:pPr>
    </w:p>
    <w:p w:rsidRPr="005B583F" w:rsidR="00506395" w:rsidP="00506395" w:rsidRDefault="00506395" w14:paraId="1BDA794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  <w:lang w:val="fi-FI"/>
        </w:rPr>
      </w:pPr>
    </w:p>
    <w:p w:rsidRPr="005B583F" w:rsidR="00506395" w:rsidP="051B6C9D" w:rsidRDefault="00497377" w14:paraId="276BB49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sz w:val="18"/>
          <w:szCs w:val="18"/>
          <w:lang w:val="fi-FI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32"/>
          <w:szCs w:val="32"/>
          <w:lang w:val="fi"/>
        </w:rPr>
        <w:t xml:space="preserve">Safe2Eat 2025 -kampanjalla pyritään lisäämään kuluttajien luottamusta EU:n elintarviketurvallisuuteen </w:t>
      </w:r>
    </w:p>
    <w:p w:rsidRPr="005B583F" w:rsidR="00506395" w:rsidP="051B6C9D" w:rsidRDefault="00497377" w14:paraId="69FB10B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sz w:val="18"/>
          <w:szCs w:val="18"/>
          <w:lang w:val="fi-FI"/>
        </w:rPr>
      </w:pPr>
      <w:r>
        <w:rPr>
          <w:rStyle w:val="eop"/>
          <w:rFonts w:ascii="Calibri" w:hAnsi="Calibri" w:eastAsia="Calibri" w:cs="Calibri"/>
          <w:lang w:val="fi"/>
        </w:rPr>
        <w:t> </w:t>
      </w:r>
    </w:p>
    <w:p w:rsidRPr="005B583F" w:rsidR="00506395" w:rsidP="57EDEF5D" w:rsidRDefault="00497377" w14:paraId="5FBD27DA" w14:textId="20FE595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  <w:color w:val="22294D"/>
          <w:lang w:val="fi-FI"/>
        </w:rPr>
      </w:pPr>
      <w:r>
        <w:rPr>
          <w:rFonts w:ascii="Calibri" w:hAnsi="Calibri" w:eastAsia="Calibri" w:cs="Calibri"/>
          <w:b/>
          <w:bCs/>
          <w:color w:val="22294D"/>
          <w:lang w:val="fi"/>
        </w:rPr>
        <w:t>Euroopan elintarviketurvallisuusviranomainen (EFSA)</w:t>
      </w:r>
      <w:r>
        <w:rPr>
          <w:rFonts w:ascii="Calibri" w:hAnsi="Calibri" w:eastAsia="Calibri" w:cs="Calibri"/>
          <w:color w:val="22294D"/>
          <w:lang w:val="fi"/>
        </w:rPr>
        <w:t xml:space="preserve"> </w:t>
      </w:r>
      <w:r>
        <w:rPr>
          <w:rFonts w:ascii="Calibri" w:hAnsi="Calibri" w:eastAsia="Calibri" w:cs="Calibri"/>
          <w:b/>
          <w:bCs/>
          <w:color w:val="22294D"/>
          <w:lang w:val="fi"/>
        </w:rPr>
        <w:t xml:space="preserve">ja sen kumppanit eri puolilla Eurooppaa jatkavat Safe2Eat-kampanjaa myös vuonna 2025. Kampanjasta tehdään kattavampi ja yhteistyötä kansalaisten kanssa tiivistetään. Nyt viidettä kertaa toteutettavan kampanjan tavoitteena on antaa kuluttajille selkeitä, </w:t>
      </w:r>
      <w:r w:rsidR="0093247C">
        <w:rPr>
          <w:rFonts w:ascii="Calibri" w:hAnsi="Calibri" w:eastAsia="Calibri" w:cs="Calibri"/>
          <w:b/>
          <w:bCs/>
          <w:color w:val="22294D"/>
          <w:lang w:val="fi"/>
        </w:rPr>
        <w:t>tieteellisesti</w:t>
      </w:r>
      <w:r>
        <w:rPr>
          <w:rFonts w:ascii="Calibri" w:hAnsi="Calibri" w:eastAsia="Calibri" w:cs="Calibri"/>
          <w:b/>
          <w:bCs/>
          <w:color w:val="22294D"/>
          <w:lang w:val="fi"/>
        </w:rPr>
        <w:t xml:space="preserve"> p</w:t>
      </w:r>
      <w:r w:rsidR="0093247C">
        <w:rPr>
          <w:rFonts w:ascii="Calibri" w:hAnsi="Calibri" w:eastAsia="Calibri" w:cs="Calibri"/>
          <w:b/>
          <w:bCs/>
          <w:color w:val="22294D"/>
          <w:lang w:val="fi"/>
        </w:rPr>
        <w:t>erusteltuja</w:t>
      </w:r>
      <w:r>
        <w:rPr>
          <w:rFonts w:ascii="Calibri" w:hAnsi="Calibri" w:eastAsia="Calibri" w:cs="Calibri"/>
          <w:b/>
          <w:bCs/>
          <w:color w:val="22294D"/>
          <w:lang w:val="fi"/>
        </w:rPr>
        <w:t xml:space="preserve"> tietoja ja vinkkejä elintarviketurvallisuudesta, jotta he voisivat tehdä tietoon perustuvia valintoja. </w:t>
      </w:r>
    </w:p>
    <w:p w:rsidRPr="005B583F" w:rsidR="00506395" w:rsidP="051B6C9D" w:rsidRDefault="00497377" w14:paraId="76AEBB3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  <w:color w:val="22294D"/>
          <w:sz w:val="22"/>
          <w:szCs w:val="22"/>
          <w:lang w:val="fi-FI"/>
        </w:rPr>
      </w:pPr>
      <w:r>
        <w:rPr>
          <w:rFonts w:ascii="Calibri" w:hAnsi="Calibri" w:eastAsia="Calibri" w:cs="Calibri"/>
          <w:b/>
          <w:bCs/>
          <w:color w:val="22294D"/>
          <w:sz w:val="22"/>
          <w:szCs w:val="22"/>
          <w:lang w:val="fi"/>
        </w:rPr>
        <w:t> </w:t>
      </w:r>
    </w:p>
    <w:p w:rsidRPr="005B583F" w:rsidR="00506395" w:rsidP="1BAB1F56" w:rsidRDefault="00497377" w14:paraId="285067AC" w14:textId="2C1AB045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22294D"/>
          <w:lang w:val="fi-FI"/>
        </w:rPr>
      </w:pPr>
      <w:r w:rsidRPr="1BAB1F56" w:rsidR="00497377">
        <w:rPr>
          <w:rFonts w:ascii="Calibri" w:hAnsi="Calibri" w:eastAsia="Calibri" w:cs="Calibri"/>
          <w:b w:val="1"/>
          <w:bCs w:val="1"/>
          <w:color w:val="22294D"/>
          <w:lang w:val="fi"/>
        </w:rPr>
        <w:t xml:space="preserve">Parma, </w:t>
      </w:r>
      <w:r w:rsidRPr="1BAB1F56" w:rsidR="44863588">
        <w:rPr>
          <w:rFonts w:ascii="Calibri" w:hAnsi="Calibri" w:eastAsia="Calibri" w:cs="Calibri"/>
          <w:b w:val="1"/>
          <w:bCs w:val="1"/>
          <w:color w:val="22294D"/>
          <w:lang w:val="fi"/>
        </w:rPr>
        <w:t>02.04.</w:t>
      </w:r>
      <w:r w:rsidRPr="1BAB1F56" w:rsidR="00497377">
        <w:rPr>
          <w:rFonts w:ascii="Calibri" w:hAnsi="Calibri" w:eastAsia="Calibri" w:cs="Calibri"/>
          <w:b w:val="1"/>
          <w:bCs w:val="1"/>
          <w:color w:val="22294D"/>
          <w:lang w:val="fi"/>
        </w:rPr>
        <w:t>2025</w:t>
      </w:r>
      <w:r w:rsidRPr="1BAB1F56" w:rsidR="00497377">
        <w:rPr>
          <w:rFonts w:ascii="Calibri" w:hAnsi="Calibri" w:eastAsia="Calibri" w:cs="Calibri"/>
          <w:color w:val="22294D"/>
          <w:lang w:val="fi"/>
        </w:rPr>
        <w:t xml:space="preserve"> – Viime vuoden menestyksekkään </w:t>
      </w:r>
      <w:r w:rsidRPr="1BAB1F56" w:rsidR="00497377">
        <w:rPr>
          <w:rFonts w:ascii="Calibri" w:hAnsi="Calibri" w:eastAsia="Calibri" w:cs="Calibri"/>
          <w:b w:val="1"/>
          <w:bCs w:val="1"/>
          <w:color w:val="22294D"/>
          <w:lang w:val="fi"/>
        </w:rPr>
        <w:t>Safe2Eat-kampanjan</w:t>
      </w:r>
      <w:r w:rsidRPr="1BAB1F56" w:rsidR="00497377">
        <w:rPr>
          <w:rFonts w:ascii="Calibri" w:hAnsi="Calibri" w:eastAsia="Calibri" w:cs="Calibri"/>
          <w:color w:val="22294D"/>
          <w:lang w:val="fi"/>
        </w:rPr>
        <w:t xml:space="preserve"> jälkeen Euroopan elintarviketurvallisuusviranomainen (EFSA) ja sen kansalliset kumppanit eri puolilla Eurooppaa käynnistävät vuoden 2025 kampanjan, jolla pyritään tavoittamaan kuluttajat entistä laajemmin ja antamaan heille selkeää, </w:t>
      </w:r>
      <w:r w:rsidRPr="1BAB1F56" w:rsidR="005B583F">
        <w:rPr>
          <w:rFonts w:ascii="Calibri" w:hAnsi="Calibri" w:eastAsia="Calibri" w:cs="Calibri"/>
          <w:color w:val="22294D"/>
          <w:lang w:val="fi"/>
        </w:rPr>
        <w:t xml:space="preserve">tieteellisesti perusteltua </w:t>
      </w:r>
      <w:r w:rsidRPr="1BAB1F56" w:rsidR="00497377">
        <w:rPr>
          <w:rFonts w:ascii="Calibri" w:hAnsi="Calibri" w:eastAsia="Calibri" w:cs="Calibri"/>
          <w:color w:val="22294D"/>
          <w:lang w:val="fi"/>
        </w:rPr>
        <w:t xml:space="preserve">tietoa elintarviketurvallisuudesta. Kampanja, jossa oli vuonna 2024 mukana 18 maata, toteutetaan nyt </w:t>
      </w:r>
      <w:r w:rsidRPr="1BAB1F56" w:rsidR="00497377">
        <w:rPr>
          <w:rFonts w:ascii="Calibri" w:hAnsi="Calibri" w:eastAsia="Calibri" w:cs="Calibri"/>
          <w:b w:val="1"/>
          <w:bCs w:val="1"/>
          <w:color w:val="22294D"/>
          <w:lang w:val="fi"/>
        </w:rPr>
        <w:t>23</w:t>
      </w:r>
      <w:r w:rsidRPr="1BAB1F56" w:rsidR="00497377">
        <w:rPr>
          <w:rFonts w:ascii="Calibri" w:hAnsi="Calibri" w:eastAsia="Calibri" w:cs="Calibri"/>
          <w:color w:val="22294D"/>
          <w:lang w:val="fi"/>
        </w:rPr>
        <w:t xml:space="preserve"> </w:t>
      </w:r>
      <w:r w:rsidRPr="1BAB1F56" w:rsidR="00497377">
        <w:rPr>
          <w:rFonts w:ascii="Calibri" w:hAnsi="Calibri" w:eastAsia="Calibri" w:cs="Calibri"/>
          <w:b w:val="1"/>
          <w:bCs w:val="1"/>
          <w:color w:val="22294D"/>
          <w:lang w:val="fi"/>
        </w:rPr>
        <w:t>maassa</w:t>
      </w:r>
      <w:r w:rsidRPr="1BAB1F56" w:rsidR="00497377">
        <w:rPr>
          <w:rFonts w:ascii="Calibri" w:hAnsi="Calibri" w:eastAsia="Calibri" w:cs="Calibri"/>
          <w:color w:val="22294D"/>
          <w:lang w:val="fi"/>
        </w:rPr>
        <w:t>. Tämä on merkittävä virstanpylväs kampanjassa, jonka tavoitteena on auttaa yhä useampia eurooppalaisia tekemään ruokaan liittyviä valintoja luottavaisin mielin.  </w:t>
      </w:r>
    </w:p>
    <w:p w:rsidRPr="005B583F" w:rsidR="00506395" w:rsidP="051B6C9D" w:rsidRDefault="00506395" w14:paraId="2FA60AB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</w:p>
    <w:p w:rsidRPr="005B583F" w:rsidR="00506395" w:rsidP="051B6C9D" w:rsidRDefault="00497377" w14:paraId="0FF641DD" w14:textId="77777777">
      <w:pPr>
        <w:pStyle w:val="paragraph"/>
        <w:spacing w:before="0" w:beforeAutospacing="0" w:after="0" w:afterAutospacing="0"/>
        <w:jc w:val="both"/>
        <w:rPr>
          <w:rFonts w:ascii="Calibri" w:hAnsi="Calibri" w:eastAsia="Calibri" w:cs="Calibri"/>
          <w:color w:val="22294D"/>
          <w:lang w:val="fi-FI"/>
        </w:rPr>
      </w:pPr>
      <w:r>
        <w:rPr>
          <w:rFonts w:ascii="Calibri" w:hAnsi="Calibri" w:eastAsia="Calibri" w:cs="Calibri"/>
          <w:color w:val="22294D"/>
          <w:lang w:val="fi"/>
        </w:rPr>
        <w:t>Vuonna 2025 mukana ovat seuraavat maat: Albania, Belgia, Bosnia ja Hertsegovina, Espanja, Irlanti, Italia, Itävalta, Kreikka, Kroatia, Kypros, Latvia, Luxemburg, Montenegro, Norja, Pohjois-Makedonia, Puola, Romania, Slovakia, Suomi, Tšekki, Turkki, Unkari ja Viro.  </w:t>
      </w:r>
    </w:p>
    <w:p w:rsidRPr="005B583F" w:rsidR="00506395" w:rsidP="051B6C9D" w:rsidRDefault="00506395" w14:paraId="754968E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</w:p>
    <w:p w:rsidRPr="005B583F" w:rsidR="00506395" w:rsidP="051B6C9D" w:rsidRDefault="00497377" w14:paraId="1C4ACA9A" w14:textId="77777777">
      <w:pPr>
        <w:pStyle w:val="paragraph"/>
        <w:spacing w:before="0" w:beforeAutospacing="0" w:after="24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fi"/>
        </w:rPr>
        <w:t>Vuoden 2024 kohokohtia – laajempi tavoittavuus ja asennemuutokset</w:t>
      </w:r>
    </w:p>
    <w:p w:rsidRPr="005B583F" w:rsidR="00BC5CD7" w:rsidP="7260B8A8" w:rsidRDefault="00497377" w14:paraId="7C4B3781" w14:textId="013AFEB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  <w:r>
        <w:rPr>
          <w:rFonts w:ascii="Calibri" w:hAnsi="Calibri" w:eastAsia="Calibri" w:cs="Calibri"/>
          <w:color w:val="22294D"/>
          <w:lang w:val="fi"/>
        </w:rPr>
        <w:t xml:space="preserve">Safe2Eat-kampanjan vaikuttavuus oli vuonna 2024 ennätystasolla. Joulukuussa tehdyn Ipsos-tutkimuksen mukaan </w:t>
      </w:r>
      <w:r>
        <w:rPr>
          <w:rFonts w:ascii="Calibri" w:hAnsi="Calibri" w:eastAsia="Calibri" w:cs="Calibri"/>
          <w:b/>
          <w:bCs/>
          <w:color w:val="22294D"/>
          <w:lang w:val="fi"/>
        </w:rPr>
        <w:t xml:space="preserve">kampanja tavoitti yli 45 prosenttia </w:t>
      </w:r>
      <w:r w:rsidR="00646253">
        <w:rPr>
          <w:rFonts w:ascii="Calibri" w:hAnsi="Calibri" w:eastAsia="Calibri" w:cs="Calibri"/>
          <w:b/>
          <w:bCs/>
          <w:color w:val="22294D"/>
          <w:lang w:val="fi"/>
        </w:rPr>
        <w:t xml:space="preserve">sen </w:t>
      </w:r>
      <w:r>
        <w:rPr>
          <w:rFonts w:ascii="Calibri" w:hAnsi="Calibri" w:eastAsia="Calibri" w:cs="Calibri"/>
          <w:b/>
          <w:bCs/>
          <w:color w:val="22294D"/>
          <w:lang w:val="fi"/>
        </w:rPr>
        <w:t>kohdeyleisöstä Euroopassa</w:t>
      </w:r>
      <w:r>
        <w:rPr>
          <w:rFonts w:ascii="Calibri" w:hAnsi="Calibri" w:eastAsia="Calibri" w:cs="Calibri"/>
          <w:color w:val="22294D"/>
          <w:lang w:val="fi"/>
        </w:rPr>
        <w:t xml:space="preserve">. </w:t>
      </w:r>
      <w:r w:rsidR="00646253">
        <w:rPr>
          <w:rFonts w:ascii="Calibri" w:hAnsi="Calibri" w:eastAsia="Calibri" w:cs="Calibri"/>
          <w:color w:val="22294D"/>
          <w:lang w:val="fi"/>
        </w:rPr>
        <w:t xml:space="preserve">Kampanjan </w:t>
      </w:r>
      <w:r>
        <w:rPr>
          <w:rFonts w:ascii="Calibri" w:hAnsi="Calibri" w:eastAsia="Calibri" w:cs="Calibri"/>
          <w:color w:val="22294D"/>
          <w:lang w:val="fi"/>
        </w:rPr>
        <w:t>tavoittavuus onkin kasvanut merkittävästi vuodesta 2023, jolloin se oli 19 prosenttia. Sosiaalisen median, vaikuttajakumppanuuksien ja kohdennettujen mediatoimien avulla Safe2Eat tavoitti yli 50 miljoonaa eurooppalaista ja vahvisti elintarviketurvallisuuden merkitystä arjen päätöksissä.</w:t>
      </w:r>
    </w:p>
    <w:p w:rsidRPr="005B583F" w:rsidR="00BC5CD7" w:rsidP="051B6C9D" w:rsidRDefault="00BC5CD7" w14:paraId="6C9D4D9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</w:p>
    <w:p w:rsidRPr="005B583F" w:rsidR="00506395" w:rsidP="051B6C9D" w:rsidRDefault="00497377" w14:paraId="69B6924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  <w:r>
        <w:rPr>
          <w:rFonts w:ascii="Calibri" w:hAnsi="Calibri" w:eastAsia="Calibri" w:cs="Calibri"/>
          <w:color w:val="22294D"/>
          <w:lang w:val="fi"/>
        </w:rPr>
        <w:t xml:space="preserve">Kampanja vaikutti myös kuluttajien asenteisiin. Tutkimustuloksista kävi ilmi, että kampanjan viestintää nähneet </w:t>
      </w:r>
      <w:r>
        <w:rPr>
          <w:rFonts w:ascii="Calibri" w:hAnsi="Calibri" w:eastAsia="Calibri" w:cs="Calibri"/>
          <w:b/>
          <w:bCs/>
          <w:color w:val="22294D"/>
          <w:lang w:val="fi"/>
        </w:rPr>
        <w:t>ottivat</w:t>
      </w:r>
      <w:r>
        <w:rPr>
          <w:rFonts w:ascii="Calibri" w:hAnsi="Calibri" w:eastAsia="Calibri" w:cs="Calibri"/>
          <w:color w:val="22294D"/>
          <w:lang w:val="fi"/>
        </w:rPr>
        <w:t xml:space="preserve"> </w:t>
      </w:r>
      <w:r>
        <w:rPr>
          <w:rFonts w:ascii="Calibri" w:hAnsi="Calibri" w:eastAsia="Calibri" w:cs="Calibri"/>
          <w:b/>
          <w:bCs/>
          <w:color w:val="22294D"/>
          <w:lang w:val="fi"/>
        </w:rPr>
        <w:t>todennäköisemmin</w:t>
      </w:r>
      <w:r>
        <w:rPr>
          <w:rFonts w:ascii="Calibri" w:hAnsi="Calibri" w:eastAsia="Calibri" w:cs="Calibri"/>
          <w:color w:val="22294D"/>
          <w:lang w:val="fi"/>
        </w:rPr>
        <w:t xml:space="preserve"> </w:t>
      </w:r>
      <w:r>
        <w:rPr>
          <w:rFonts w:ascii="Calibri" w:hAnsi="Calibri" w:eastAsia="Calibri" w:cs="Calibri"/>
          <w:b/>
          <w:bCs/>
          <w:color w:val="22294D"/>
          <w:lang w:val="fi"/>
        </w:rPr>
        <w:t>huomioon turvallisuuden ruokaostoksia tehdessään.</w:t>
      </w:r>
      <w:r>
        <w:rPr>
          <w:rFonts w:ascii="Calibri" w:hAnsi="Calibri" w:eastAsia="Calibri" w:cs="Calibri"/>
          <w:color w:val="22294D"/>
          <w:lang w:val="fi"/>
        </w:rPr>
        <w:t xml:space="preserve"> Lisäksi </w:t>
      </w:r>
      <w:r>
        <w:rPr>
          <w:rFonts w:ascii="Calibri" w:hAnsi="Calibri" w:eastAsia="Calibri" w:cs="Calibri"/>
          <w:b/>
          <w:bCs/>
          <w:color w:val="22294D"/>
          <w:lang w:val="fi"/>
        </w:rPr>
        <w:t>huomattavasti harvemmat pitivät elintarviketurvallisuutta koskevaa tietoa liian teknisenä tai monimutkaisena</w:t>
      </w:r>
      <w:r>
        <w:rPr>
          <w:rFonts w:ascii="Calibri" w:hAnsi="Calibri" w:eastAsia="Calibri" w:cs="Calibri"/>
          <w:color w:val="22294D"/>
          <w:lang w:val="fi"/>
        </w:rPr>
        <w:t>, ja vastaajat ilmoittivat tietävänsä enemmän elintarvikkeisiin liittyvien riskien ehkäisemisestä.</w:t>
      </w:r>
    </w:p>
    <w:p w:rsidRPr="005B583F" w:rsidR="00506395" w:rsidP="051B6C9D" w:rsidRDefault="00497377" w14:paraId="1C1610A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  <w:r>
        <w:rPr>
          <w:rStyle w:val="eop"/>
          <w:rFonts w:ascii="Calibri" w:hAnsi="Calibri" w:eastAsia="Calibri" w:cs="Calibri"/>
          <w:lang w:val="fi"/>
        </w:rPr>
        <w:t> </w:t>
      </w:r>
    </w:p>
    <w:p w:rsidRPr="005B583F" w:rsidR="00BC5CD7" w:rsidP="051B6C9D" w:rsidRDefault="00497377" w14:paraId="158970E5" w14:textId="77777777">
      <w:pPr>
        <w:spacing w:after="160" w:line="259" w:lineRule="auto"/>
        <w:rPr>
          <w:rStyle w:val="normaltextrun"/>
          <w:rFonts w:ascii="Calibri" w:hAnsi="Calibri" w:eastAsia="Calibri" w:cs="Calibri"/>
          <w:b/>
          <w:bCs/>
          <w:color w:val="1F4E79"/>
          <w:sz w:val="24"/>
          <w:szCs w:val="24"/>
          <w:lang w:val="fi-FI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fi"/>
        </w:rPr>
        <w:t>Mitä uutta on luvassa vuonna</w:t>
      </w:r>
      <w:r>
        <w:rPr>
          <w:rStyle w:val="normaltextrun"/>
          <w:rFonts w:ascii="Calibri" w:hAnsi="Calibri" w:eastAsia="Calibri" w:cs="Calibri"/>
          <w:color w:val="1F4E79" w:themeColor="accent5" w:themeShade="80"/>
          <w:sz w:val="24"/>
          <w:szCs w:val="24"/>
          <w:lang w:val="fi"/>
        </w:rPr>
        <w:t> </w:t>
      </w: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fi"/>
        </w:rPr>
        <w:t>2025?</w:t>
      </w:r>
    </w:p>
    <w:p w:rsidRPr="005B583F" w:rsidR="00BC5CD7" w:rsidP="051B6C9D" w:rsidRDefault="00497377" w14:paraId="54BCCAB2" w14:textId="77777777">
      <w:pPr>
        <w:spacing w:after="160" w:line="259" w:lineRule="auto"/>
        <w:rPr>
          <w:rFonts w:ascii="Calibri" w:hAnsi="Calibri" w:eastAsia="Calibri" w:cs="Calibri"/>
          <w:sz w:val="24"/>
          <w:szCs w:val="24"/>
          <w:lang w:val="fi-FI"/>
        </w:rPr>
      </w:pPr>
      <w:r>
        <w:rPr>
          <w:rFonts w:ascii="Calibri" w:hAnsi="Calibri" w:eastAsia="Calibri" w:cs="Calibri"/>
          <w:sz w:val="24"/>
          <w:szCs w:val="24"/>
          <w:lang w:val="fi"/>
        </w:rPr>
        <w:lastRenderedPageBreak/>
        <w:t>Safe2Eat-kampanjan vaikuttavuutta pyritään lisäämään viime vuoden saavutusten pohjalta seuraavasti:</w:t>
      </w:r>
    </w:p>
    <w:p w:rsidRPr="00176062" w:rsidR="00BC5CD7" w:rsidP="051B6C9D" w:rsidRDefault="00497377" w14:paraId="69B8EFC5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lang w:val="fi"/>
        </w:rPr>
        <w:t>Kampanja laajentuu 23 maahan</w:t>
      </w:r>
      <w:r>
        <w:rPr>
          <w:rFonts w:ascii="Calibri" w:hAnsi="Calibri" w:eastAsia="Calibri" w:cs="Calibri"/>
          <w:sz w:val="24"/>
          <w:szCs w:val="24"/>
          <w:lang w:val="fi"/>
        </w:rPr>
        <w:t>, joiden joukossa on viisi uutta osallistujamaata. Tämä lisää kampanjan tavoittavuutta ja siihen osallistumista koko Euroopassa.</w:t>
      </w:r>
    </w:p>
    <w:p w:rsidRPr="005B583F" w:rsidR="00BC5CD7" w:rsidP="051B6C9D" w:rsidRDefault="00497377" w14:paraId="76D341F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Calibri" w:hAnsi="Calibri" w:eastAsia="Calibri" w:cs="Calibri"/>
          <w:sz w:val="24"/>
          <w:szCs w:val="24"/>
          <w:lang w:val="fi-FI"/>
        </w:rPr>
      </w:pPr>
      <w:r>
        <w:rPr>
          <w:rFonts w:ascii="Calibri" w:hAnsi="Calibri" w:eastAsia="Calibri" w:cs="Calibri"/>
          <w:b/>
          <w:bCs/>
          <w:sz w:val="24"/>
          <w:szCs w:val="24"/>
          <w:lang w:val="fi"/>
        </w:rPr>
        <w:t>Kampanjassa huomioidaan kuluttajien elintarviketurvallisuutta koskevat keskeiset huolenaiheet</w:t>
      </w:r>
      <w:r>
        <w:rPr>
          <w:rFonts w:ascii="Calibri" w:hAnsi="Calibri" w:eastAsia="Calibri" w:cs="Calibri"/>
          <w:sz w:val="24"/>
          <w:szCs w:val="24"/>
          <w:lang w:val="fi"/>
        </w:rPr>
        <w:t>, kuten tieteen merkitys elintarviketurvallisuuden varmistamisessa, selkeiden elintarvikemerkintöjen tärkeys ja ruokahävikin vähentämisen edut.</w:t>
      </w:r>
    </w:p>
    <w:p w:rsidRPr="005B583F" w:rsidR="00BC5CD7" w:rsidP="051B6C9D" w:rsidRDefault="00497377" w14:paraId="2197768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Calibri" w:hAnsi="Calibri" w:eastAsia="Calibri" w:cs="Calibri"/>
          <w:sz w:val="24"/>
          <w:szCs w:val="24"/>
          <w:lang w:val="fi-FI"/>
        </w:rPr>
      </w:pPr>
      <w:r>
        <w:rPr>
          <w:rFonts w:ascii="Calibri" w:hAnsi="Calibri" w:eastAsia="Calibri" w:cs="Calibri"/>
          <w:b/>
          <w:bCs/>
          <w:sz w:val="24"/>
          <w:szCs w:val="24"/>
          <w:lang w:val="fi"/>
        </w:rPr>
        <w:t>Kampanjalla parannetaan</w:t>
      </w:r>
      <w:r>
        <w:rPr>
          <w:rFonts w:ascii="Calibri" w:hAnsi="Calibri" w:eastAsia="Calibri" w:cs="Calibri"/>
          <w:sz w:val="24"/>
          <w:szCs w:val="24"/>
          <w:lang w:val="fi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  <w:lang w:val="fi"/>
        </w:rPr>
        <w:t>elintarviketurvallisuutta koskevan tiedon</w:t>
      </w:r>
      <w:r>
        <w:rPr>
          <w:rFonts w:ascii="Calibri" w:hAnsi="Calibri" w:eastAsia="Calibri" w:cs="Calibri"/>
          <w:sz w:val="24"/>
          <w:szCs w:val="24"/>
          <w:lang w:val="fi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  <w:lang w:val="fi"/>
        </w:rPr>
        <w:t>saatavuutta</w:t>
      </w:r>
      <w:r>
        <w:rPr>
          <w:rFonts w:ascii="Calibri" w:hAnsi="Calibri" w:eastAsia="Calibri" w:cs="Calibri"/>
          <w:sz w:val="24"/>
          <w:szCs w:val="24"/>
          <w:lang w:val="fi"/>
        </w:rPr>
        <w:t xml:space="preserve"> ottamalla käyttöön uusia, helposti ymmärrettäviä aineistoja, joita on mukautettu eri väestöryhmiä ja kulttuuritaustoja silmällä pitäen.</w:t>
      </w:r>
    </w:p>
    <w:p w:rsidRPr="005B583F" w:rsidR="00BC5CD7" w:rsidP="051B6C9D" w:rsidRDefault="00497377" w14:paraId="4AABF1F0" w14:textId="77777777">
      <w:pPr>
        <w:spacing w:after="160" w:line="259" w:lineRule="auto"/>
        <w:rPr>
          <w:rStyle w:val="normaltextrun"/>
          <w:rFonts w:ascii="Calibri" w:hAnsi="Calibri" w:eastAsia="Calibri" w:cs="Calibri"/>
          <w:b/>
          <w:bCs/>
          <w:color w:val="1F4E79"/>
          <w:sz w:val="24"/>
          <w:szCs w:val="24"/>
          <w:lang w:val="fi-FI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fi"/>
        </w:rPr>
        <w:t>EFSA on sitoutunut pitkän aikavälin menestykseen</w:t>
      </w:r>
    </w:p>
    <w:p w:rsidRPr="005B583F" w:rsidR="00BC5CD7" w:rsidP="051B6C9D" w:rsidRDefault="00497377" w14:paraId="416D618C" w14:textId="77777777">
      <w:pPr>
        <w:spacing w:after="160" w:line="259" w:lineRule="auto"/>
        <w:rPr>
          <w:rFonts w:ascii="Calibri" w:hAnsi="Calibri" w:eastAsia="Calibri" w:cs="Calibri"/>
          <w:sz w:val="24"/>
          <w:szCs w:val="24"/>
          <w:lang w:val="fi-FI"/>
        </w:rPr>
      </w:pPr>
      <w:r>
        <w:rPr>
          <w:rFonts w:ascii="Calibri" w:hAnsi="Calibri" w:eastAsia="Calibri" w:cs="Calibri"/>
          <w:i/>
          <w:iCs/>
          <w:sz w:val="24"/>
          <w:szCs w:val="24"/>
          <w:lang w:val="fi"/>
        </w:rPr>
        <w:t>”Elintarvikkeiden maailma on monimutkainen, joten on tärkeää, että eurooppalaiset voivat siellä luoviessaan tuntea tekevänsä tietoon perustuvia valintoja”</w:t>
      </w:r>
      <w:r>
        <w:rPr>
          <w:rFonts w:ascii="Calibri" w:hAnsi="Calibri" w:eastAsia="Calibri" w:cs="Calibri"/>
          <w:sz w:val="24"/>
          <w:szCs w:val="24"/>
          <w:lang w:val="fi"/>
        </w:rPr>
        <w:t xml:space="preserve">, EFSAn toiminnanjohtaja Bernhard Url sanoo. </w:t>
      </w:r>
      <w:r>
        <w:rPr>
          <w:rFonts w:ascii="Calibri" w:hAnsi="Calibri" w:eastAsia="Calibri" w:cs="Calibri"/>
          <w:i/>
          <w:iCs/>
          <w:sz w:val="24"/>
          <w:szCs w:val="24"/>
          <w:lang w:val="fi"/>
        </w:rPr>
        <w:t>”Safe2Eat-kampanja kuroo umpeen elintarviketurvallisuutta koskevan tutkimuksen ja arjen päätösten välistä kuilua. Se tarjoaa selkeää ja käytännönläheistä tietoa, joka tukee kuluttajien luottamusta. Kampanjan laajentuessa uusiin maihin vuonna</w:t>
      </w:r>
      <w:r>
        <w:rPr>
          <w:rFonts w:ascii="Calibri" w:hAnsi="Calibri" w:eastAsia="Calibri" w:cs="Calibri"/>
          <w:sz w:val="24"/>
          <w:szCs w:val="24"/>
          <w:lang w:val="fi"/>
        </w:rPr>
        <w:t> </w:t>
      </w:r>
      <w:r>
        <w:rPr>
          <w:rFonts w:ascii="Calibri" w:hAnsi="Calibri" w:eastAsia="Calibri" w:cs="Calibri"/>
          <w:i/>
          <w:iCs/>
          <w:sz w:val="24"/>
          <w:szCs w:val="24"/>
          <w:lang w:val="fi"/>
        </w:rPr>
        <w:t>2025 olemme jälleen askelen lähempänä sen varmistamista, että kaikilla Euroopan kansalaisilla on saatavillaan luotettavia, tutkimukseen perustuvia ohjeita elintarviketurvallisuudesta</w:t>
      </w:r>
      <w:r>
        <w:rPr>
          <w:rFonts w:ascii="Calibri" w:hAnsi="Calibri" w:eastAsia="Calibri" w:cs="Calibri"/>
          <w:sz w:val="24"/>
          <w:szCs w:val="24"/>
          <w:lang w:val="fi"/>
        </w:rPr>
        <w:t>.</w:t>
      </w:r>
      <w:r>
        <w:rPr>
          <w:rFonts w:ascii="Calibri" w:hAnsi="Calibri" w:eastAsia="Calibri" w:cs="Calibri"/>
          <w:i/>
          <w:iCs/>
          <w:sz w:val="24"/>
          <w:szCs w:val="24"/>
          <w:lang w:val="fi"/>
        </w:rPr>
        <w:t>”</w:t>
      </w:r>
    </w:p>
    <w:p w:rsidRPr="005B583F" w:rsidR="00BC5CD7" w:rsidP="051B6C9D" w:rsidRDefault="00497377" w14:paraId="1C441E24" w14:textId="77777777">
      <w:pPr>
        <w:spacing w:after="160" w:line="259" w:lineRule="auto"/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fi-FI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fi"/>
        </w:rPr>
        <w:t>Osallistuminen</w:t>
      </w:r>
    </w:p>
    <w:p w:rsidRPr="005B583F" w:rsidR="00BC5CD7" w:rsidP="051B6C9D" w:rsidRDefault="00497377" w14:paraId="7C44FC3A" w14:textId="77777777">
      <w:pPr>
        <w:spacing w:after="160" w:line="259" w:lineRule="auto"/>
        <w:rPr>
          <w:rFonts w:ascii="Calibri" w:hAnsi="Calibri" w:eastAsia="Calibri" w:cs="Calibri"/>
          <w:sz w:val="24"/>
          <w:szCs w:val="24"/>
          <w:lang w:val="fi-FI"/>
        </w:rPr>
      </w:pPr>
      <w:r>
        <w:rPr>
          <w:rFonts w:ascii="Calibri" w:hAnsi="Calibri" w:eastAsia="Calibri" w:cs="Calibri"/>
          <w:sz w:val="24"/>
          <w:szCs w:val="24"/>
          <w:lang w:val="fi"/>
        </w:rPr>
        <w:t xml:space="preserve">Vuoden aikana Safe2Eat-aloitteita toteutetaan laajasti sekä EU:n että kansallisella tasolla. Kuluttajat voivat vierailla </w:t>
      </w:r>
      <w:hyperlink r:id="rId11">
        <w:r>
          <w:rPr>
            <w:rStyle w:val="Hyperlinkki"/>
            <w:rFonts w:ascii="Calibri" w:hAnsi="Calibri" w:eastAsia="Calibri" w:cs="Calibri"/>
            <w:sz w:val="24"/>
            <w:szCs w:val="24"/>
            <w:lang w:val="fi"/>
          </w:rPr>
          <w:t>kampanjan virallisella verkkosivustolla</w:t>
        </w:r>
      </w:hyperlink>
      <w:r>
        <w:rPr>
          <w:rFonts w:ascii="Calibri" w:hAnsi="Calibri" w:eastAsia="Calibri" w:cs="Calibri"/>
          <w:sz w:val="24"/>
          <w:szCs w:val="24"/>
          <w:lang w:val="fi"/>
        </w:rPr>
        <w:t>, tutustua oppimateriaaleihin ja osallistua kampanjaan sosiaalisessa mediassa käyttämällä aihetunnistetta #Safe2EatEU.</w:t>
      </w:r>
    </w:p>
    <w:p w:rsidRPr="005B583F" w:rsidR="051B6C9D" w:rsidP="051B6C9D" w:rsidRDefault="051B6C9D" w14:paraId="7D8D4343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fi-FI"/>
        </w:rPr>
      </w:pPr>
    </w:p>
    <w:p w:rsidRPr="005B583F" w:rsidR="00506395" w:rsidP="051B6C9D" w:rsidRDefault="00497377" w14:paraId="2F5A6DD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eastAsia="Calibri" w:cs="Calibri"/>
          <w:color w:val="1F4E79"/>
          <w:lang w:val="fi-FI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fi"/>
        </w:rPr>
        <w:t>Euroopan elintarviketurvallisuusviranomainen </w:t>
      </w:r>
      <w:r>
        <w:rPr>
          <w:rStyle w:val="eop"/>
          <w:rFonts w:ascii="Calibri" w:hAnsi="Calibri" w:eastAsia="Calibri" w:cs="Calibri"/>
          <w:color w:val="1F4E79" w:themeColor="accent5" w:themeShade="80"/>
          <w:lang w:val="fi"/>
        </w:rPr>
        <w:t> </w:t>
      </w:r>
    </w:p>
    <w:p w:rsidRPr="005B583F" w:rsidR="00506395" w:rsidP="051B6C9D" w:rsidRDefault="00506395" w14:paraId="3B344E0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</w:p>
    <w:p w:rsidRPr="005B583F" w:rsidR="00506395" w:rsidP="051B6C9D" w:rsidRDefault="00497377" w14:paraId="60A277F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  <w:r>
        <w:rPr>
          <w:rFonts w:ascii="Calibri" w:hAnsi="Calibri" w:eastAsia="Calibri" w:cs="Calibri"/>
          <w:color w:val="22294D"/>
          <w:lang w:val="fi"/>
        </w:rPr>
        <w:t>Euroopan elintarviketurvallisuusviranomainen</w:t>
      </w:r>
      <w:r>
        <w:rPr>
          <w:rFonts w:ascii="Calibri" w:hAnsi="Calibri" w:eastAsia="Calibri" w:cs="Calibri"/>
          <w:b/>
          <w:bCs/>
          <w:color w:val="22294D"/>
          <w:lang w:val="fi"/>
        </w:rPr>
        <w:t xml:space="preserve"> </w:t>
      </w:r>
      <w:r>
        <w:rPr>
          <w:rFonts w:ascii="Calibri" w:hAnsi="Calibri" w:eastAsia="Calibri" w:cs="Calibri"/>
          <w:color w:val="22294D"/>
          <w:lang w:val="fi"/>
        </w:rPr>
        <w:t>(EFSA) on vuonna 2002 perustettu Euroopan unionin virasto, joka tuottaa riippumatonta tutkimustietoa riskinhallintaa varten ja tiedottaa elintarvikeketjuun liittyvistä nykyisistä ja uusista riskeistä.  </w:t>
      </w:r>
    </w:p>
    <w:p w:rsidRPr="005B583F" w:rsidR="00506395" w:rsidP="051B6C9D" w:rsidRDefault="00506395" w14:paraId="53E0867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</w:p>
    <w:p w:rsidRPr="005B583F" w:rsidR="00506395" w:rsidP="051B6C9D" w:rsidRDefault="00497377" w14:paraId="679326E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  <w:r>
        <w:rPr>
          <w:rFonts w:ascii="Calibri" w:hAnsi="Calibri" w:eastAsia="Calibri" w:cs="Calibri"/>
          <w:color w:val="22294D"/>
          <w:lang w:val="fi"/>
        </w:rPr>
        <w:t>Se tarjoaa tieteellisen perustan lainsäädännölle ja sääntelylle, joilla suojellaan eurooppalaisia kuluttajia elintarvikkeisiin liittyviltä riskeiltä. Tekemällä yhteistyötä kansallisten kumppanien kanssa EFSA edistää elintarviketurvallisuutta koskevan julkisen tiedottamisen johdonmukaisuutta EU:ssa.</w:t>
      </w:r>
    </w:p>
    <w:p w:rsidRPr="005B583F" w:rsidR="00506395" w:rsidP="051B6C9D" w:rsidRDefault="00497377" w14:paraId="13480AB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  <w:r>
        <w:rPr>
          <w:rStyle w:val="eop"/>
          <w:rFonts w:ascii="Calibri" w:hAnsi="Calibri" w:eastAsia="Calibri" w:cs="Calibri"/>
          <w:lang w:val="fi"/>
        </w:rPr>
        <w:t> </w:t>
      </w:r>
    </w:p>
    <w:p w:rsidRPr="005B583F" w:rsidR="00506395" w:rsidP="051B6C9D" w:rsidRDefault="00497377" w14:paraId="4DCFDB0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eastAsia="Calibri" w:cs="Calibri"/>
          <w:color w:val="1F4E79"/>
          <w:lang w:val="fi-FI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fi"/>
        </w:rPr>
        <w:t>Yhteystiedot</w:t>
      </w:r>
      <w:r>
        <w:rPr>
          <w:rStyle w:val="eop"/>
          <w:rFonts w:ascii="Calibri" w:hAnsi="Calibri" w:eastAsia="Calibri" w:cs="Calibri"/>
          <w:color w:val="1F4E79" w:themeColor="accent5" w:themeShade="80"/>
          <w:lang w:val="fi"/>
        </w:rPr>
        <w:t> </w:t>
      </w:r>
    </w:p>
    <w:p w:rsidRPr="005B583F" w:rsidR="00506395" w:rsidP="051B6C9D" w:rsidRDefault="00506395" w14:paraId="3A139A5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fi-FI"/>
        </w:rPr>
      </w:pPr>
    </w:p>
    <w:p w:rsidRPr="005B583F" w:rsidR="00506395" w:rsidP="051B6C9D" w:rsidRDefault="00497377" w14:paraId="1D15489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color w:val="22294D"/>
          <w:lang w:val="fi-FI"/>
        </w:rPr>
      </w:pPr>
      <w:r>
        <w:rPr>
          <w:rFonts w:ascii="Calibri" w:hAnsi="Calibri" w:eastAsia="Calibri" w:cs="Calibri"/>
          <w:color w:val="22294D"/>
          <w:lang w:val="fi"/>
        </w:rPr>
        <w:t xml:space="preserve">Tiedotusvälineiden tiedustelut: </w:t>
      </w:r>
      <w:hyperlink w:tgtFrame="_blank" w:history="1" r:id="rId12">
        <w:r>
          <w:rPr>
            <w:rStyle w:val="normaltextrun"/>
            <w:rFonts w:ascii="Calibri" w:hAnsi="Calibri" w:eastAsia="Calibri" w:cs="Calibri"/>
            <w:color w:val="1155CC"/>
            <w:u w:val="single"/>
            <w:shd w:val="clear" w:color="auto" w:fill="FFFFFF"/>
            <w:lang w:val="fi"/>
          </w:rPr>
          <w:t>Press@efsa.europa.eu</w:t>
        </w:r>
      </w:hyperlink>
      <w:r>
        <w:rPr>
          <w:rStyle w:val="normaltextrun"/>
          <w:rFonts w:ascii="Calibri" w:hAnsi="Calibri" w:eastAsia="Calibri" w:cs="Calibri"/>
          <w:color w:val="1F1F1F"/>
          <w:shd w:val="clear" w:color="auto" w:fill="FFFFFF"/>
          <w:lang w:val="fi"/>
        </w:rPr>
        <w:t xml:space="preserve"> </w:t>
      </w:r>
      <w:r>
        <w:rPr>
          <w:rFonts w:ascii="Calibri" w:hAnsi="Calibri" w:eastAsia="Calibri" w:cs="Calibri"/>
          <w:color w:val="22294D"/>
          <w:lang w:val="fi"/>
        </w:rPr>
        <w:t>tai p. +39 0521 036 14  </w:t>
      </w:r>
    </w:p>
    <w:p w:rsidRPr="005B583F" w:rsidR="00506395" w:rsidP="051B6C9D" w:rsidRDefault="00506395" w14:paraId="548F6150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sz w:val="18"/>
          <w:szCs w:val="18"/>
          <w:lang w:val="fi-FI"/>
        </w:rPr>
      </w:pPr>
    </w:p>
    <w:p w:rsidRPr="005B583F" w:rsidR="00795E02" w:rsidP="051B6C9D" w:rsidRDefault="00795E02" w14:paraId="1B950F55" w14:textId="77777777">
      <w:pPr>
        <w:rPr>
          <w:rFonts w:ascii="Calibri" w:hAnsi="Calibri" w:eastAsia="Calibri" w:cs="Calibri"/>
          <w:lang w:val="fi-FI"/>
        </w:rPr>
      </w:pPr>
    </w:p>
    <w:sectPr w:rsidRPr="005B583F" w:rsidR="00795E02" w:rsidSect="00FB1EB5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377" w:rsidRDefault="00497377" w14:paraId="149EE063" w14:textId="77777777">
      <w:pPr>
        <w:spacing w:after="0"/>
      </w:pPr>
      <w:r>
        <w:separator/>
      </w:r>
    </w:p>
  </w:endnote>
  <w:endnote w:type="continuationSeparator" w:id="0">
    <w:p w:rsidR="00497377" w:rsidRDefault="00497377" w14:paraId="25C36F0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505"/>
    </w:tblGrid>
    <w:tr w:rsidR="002954A7" w:rsidTr="00985D8D" w14:paraId="1E578708" w14:textId="77777777">
      <w:tc>
        <w:tcPr>
          <w:tcW w:w="8505" w:type="dxa"/>
          <w:shd w:val="clear" w:color="auto" w:fill="auto"/>
        </w:tcPr>
        <w:p w:rsidR="00246A65" w:rsidP="00246A65" w:rsidRDefault="00246A65" w14:paraId="369C1ED4" w14:textId="77777777">
          <w:pPr>
            <w:pStyle w:val="Alatunniste"/>
          </w:pPr>
        </w:p>
      </w:tc>
    </w:tr>
  </w:tbl>
  <w:p w:rsidRPr="005B3B3E" w:rsidR="00246A65" w:rsidP="00246A65" w:rsidRDefault="00246A65" w14:paraId="1EE3F37B" w14:textId="77777777">
    <w:pPr>
      <w:pStyle w:val="Alatunniste"/>
    </w:pPr>
  </w:p>
  <w:p w:rsidRPr="00EA7E45" w:rsidR="00246A65" w:rsidP="00246A65" w:rsidRDefault="00246A65" w14:paraId="2A008AA7" w14:textId="77777777">
    <w:pPr>
      <w:pStyle w:val="Alatunniste"/>
    </w:pPr>
  </w:p>
  <w:p w:rsidR="00246A65" w:rsidRDefault="00246A65" w14:paraId="71D401C1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505"/>
    </w:tblGrid>
    <w:tr w:rsidR="002954A7" w:rsidTr="00246A65" w14:paraId="2597B59A" w14:textId="77777777">
      <w:tc>
        <w:tcPr>
          <w:tcW w:w="8505" w:type="dxa"/>
          <w:shd w:val="clear" w:color="auto" w:fill="auto"/>
        </w:tcPr>
        <w:p w:rsidR="00246A65" w:rsidP="00EA7E45" w:rsidRDefault="00246A65" w14:paraId="411D8C2F" w14:textId="77777777">
          <w:pPr>
            <w:pStyle w:val="Alatunniste"/>
          </w:pPr>
        </w:p>
      </w:tc>
    </w:tr>
  </w:tbl>
  <w:p w:rsidRPr="005B3B3E" w:rsidR="00EA7E45" w:rsidP="00EA7E45" w:rsidRDefault="00EA7E45" w14:paraId="481E9635" w14:textId="77777777">
    <w:pPr>
      <w:pStyle w:val="Alatunniste"/>
    </w:pPr>
  </w:p>
  <w:p w:rsidRPr="00EA7E45" w:rsidR="00EA7E45" w:rsidP="00EA7E45" w:rsidRDefault="00EA7E45" w14:paraId="5875511C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377" w:rsidRDefault="00497377" w14:paraId="23247CEB" w14:textId="77777777">
      <w:pPr>
        <w:spacing w:after="0"/>
      </w:pPr>
      <w:r>
        <w:separator/>
      </w:r>
    </w:p>
  </w:footnote>
  <w:footnote w:type="continuationSeparator" w:id="0">
    <w:p w:rsidR="00497377" w:rsidRDefault="00497377" w14:paraId="24182DC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A7E45" w:rsidP="00EA7E45" w:rsidRDefault="00497377" w14:paraId="49988435" w14:textId="77777777">
    <w:pPr>
      <w:pStyle w:val="Yltunniste"/>
      <w:jc w:val="right"/>
    </w:pPr>
    <w:r>
      <w:rPr>
        <w:noProof/>
        <w:lang w:val="fi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3FEEC3" wp14:editId="3CB7A7D9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5" style="width:71pt;height:6.05pt;margin-top:-2.85pt;margin-left:0.15pt;mso-width-percent:0;mso-width-relative:margin;mso-wrap-distance-bottom:0;mso-wrap-distance-left:9pt;mso-wrap-distance-right:9pt;mso-wrap-distance-top:0;mso-wrap-style:square;position:absolute;visibility:visible;v-text-anchor:middle;z-index:251669504" o:spid="_x0000_s2049" fillcolor="white" stroked="f" strokeweight="1pt"/>
          </w:pict>
        </mc:Fallback>
      </mc:AlternateContent>
    </w:r>
    <w:r>
      <w:rPr>
        <w:noProof/>
        <w:lang w:val="fi"/>
      </w:rPr>
      <w:drawing>
        <wp:anchor distT="0" distB="0" distL="114300" distR="114300" simplePos="0" relativeHeight="251665408" behindDoc="0" locked="0" layoutInCell="1" allowOverlap="1" wp14:anchorId="6CAF1728" wp14:editId="141845E1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"/>
      </w:rPr>
      <w:t xml:space="preserve"> </w:t>
    </w:r>
    <w:r>
      <w:rPr>
        <w:noProof/>
        <w:lang w:val="fi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3D9565" wp14:editId="0F98F034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9261D" w:rsidR="00795E02" w:rsidP="00795E02" w:rsidRDefault="00795E02" w14:paraId="65DA3EAD" w14:textId="77777777">
                          <w:pPr>
                            <w:pStyle w:val="Otsikko4"/>
                          </w:pPr>
                        </w:p>
                        <w:p w:rsidRPr="0059261D" w:rsidR="00795E02" w:rsidP="00795E02" w:rsidRDefault="00795E02" w14:paraId="00A36D0F" w14:textId="77777777">
                          <w:pPr>
                            <w:pStyle w:val="Otsikko4"/>
                          </w:pPr>
                        </w:p>
                        <w:p w:rsidRPr="0059261D" w:rsidR="00795E02" w:rsidP="00795E02" w:rsidRDefault="00795E02" w14:paraId="189B95BE" w14:textId="77777777">
                          <w:pPr>
                            <w:pStyle w:val="Otsikko3"/>
                          </w:pPr>
                        </w:p>
                        <w:p w:rsidRPr="00795E02" w:rsidR="00795E02" w:rsidP="00795E02" w:rsidRDefault="00795E02" w14:paraId="23CC63D5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style="position:absolute;left:0;text-align:left;margin-left:-86pt;margin-top:-34.3pt;width:596.65pt;height:97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87878" stroked="f" strokeweight="1pt" w14:anchorId="023D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">
              <v:textbox>
                <w:txbxContent>
                  <w:p w:rsidRPr="0059261D" w:rsidR="00795E02" w:rsidP="00795E02" w:rsidRDefault="00795E02" w14:paraId="65DA3EAD" w14:textId="77777777">
                    <w:pPr>
                      <w:pStyle w:val="Otsikko4"/>
                    </w:pPr>
                  </w:p>
                  <w:p w:rsidRPr="0059261D" w:rsidR="00795E02" w:rsidP="00795E02" w:rsidRDefault="00795E02" w14:paraId="00A36D0F" w14:textId="77777777">
                    <w:pPr>
                      <w:pStyle w:val="Otsikko4"/>
                    </w:pPr>
                  </w:p>
                  <w:p w:rsidRPr="0059261D" w:rsidR="00795E02" w:rsidP="00795E02" w:rsidRDefault="00795E02" w14:paraId="189B95BE" w14:textId="77777777">
                    <w:pPr>
                      <w:pStyle w:val="Otsikko3"/>
                    </w:pPr>
                  </w:p>
                  <w:p w:rsidRPr="00795E02" w:rsidR="00795E02" w:rsidP="00795E02" w:rsidRDefault="00795E02" w14:paraId="23CC63D5" w14:textId="7777777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Pr="0059261D" w:rsidR="00795E02" w:rsidP="00795E02" w:rsidRDefault="00497377" w14:paraId="7B14C861" w14:textId="77777777">
    <w:pPr>
      <w:pStyle w:val="Otsikko4"/>
    </w:pPr>
    <w:r>
      <w:rPr>
        <w:lang w:val="fi"/>
      </w:rPr>
      <w:t>LEHDISTÖTIEDOTE</w:t>
    </w:r>
  </w:p>
  <w:p w:rsidR="00EA7E45" w:rsidP="00795E02" w:rsidRDefault="0037394E" w14:paraId="67583D5A" w14:textId="77777777">
    <w:pPr>
      <w:pStyle w:val="Otsikko4"/>
    </w:pPr>
    <w:sdt>
      <w:sdtPr>
        <w:alias w:val="Title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7377">
          <w:rPr>
            <w:lang w:val="fi"/>
          </w:rPr>
          <w:t>SAFE2EAT</w:t>
        </w:r>
      </w:sdtContent>
    </w:sdt>
    <w:r w:rsidR="00497377">
      <w:rPr>
        <w:lang w:val="fi"/>
      </w:rPr>
      <w:t xml:space="preserve"> </w:t>
    </w:r>
  </w:p>
  <w:p w:rsidRPr="00246A65" w:rsidR="00246A65" w:rsidP="00246A65" w:rsidRDefault="00246A65" w14:paraId="3F36994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A7E45" w:rsidP="00EA7E45" w:rsidRDefault="00497377" w14:paraId="55625C09" w14:textId="77777777">
    <w:pPr>
      <w:pStyle w:val="Yltunniste"/>
    </w:pPr>
    <w:r>
      <w:rPr>
        <w:noProof/>
        <w:lang w:val="fi"/>
      </w:rPr>
      <w:drawing>
        <wp:anchor distT="0" distB="0" distL="114300" distR="114300" simplePos="0" relativeHeight="251660288" behindDoc="0" locked="0" layoutInCell="1" allowOverlap="1" wp14:anchorId="7943AA52" wp14:editId="33E9FBCF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"/>
      </w:rPr>
      <w:drawing>
        <wp:anchor distT="0" distB="0" distL="114300" distR="114300" simplePos="0" relativeHeight="251668480" behindDoc="0" locked="0" layoutInCell="1" allowOverlap="1" wp14:anchorId="326DFCF5" wp14:editId="408E04CB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5AA5A8" wp14:editId="6791E390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261D" w:rsidP="0059261D" w:rsidRDefault="00497377" w14:paraId="78A565F0" w14:textId="77777777">
                          <w:pPr>
                            <w:pStyle w:val="Otsikko4"/>
                          </w:pPr>
                          <w:r>
                            <w:rPr>
                              <w:lang w:val="fi"/>
                            </w:rPr>
                            <w:t xml:space="preserve">LEHDISTÖTIEDOTE </w:t>
                          </w:r>
                        </w:p>
                        <w:p w:rsidRPr="009E6BA4" w:rsidR="009E6BA4" w:rsidP="009E6BA4" w:rsidRDefault="00497377" w14:paraId="7C4499DA" w14:textId="77777777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fi"/>
                            </w:rPr>
                            <w:t>Vapaa julkaistavaksi heti</w:t>
                          </w:r>
                        </w:p>
                        <w:p w:rsidRPr="009E6BA4" w:rsidR="009E6BA4" w:rsidP="009E6BA4" w:rsidRDefault="009E6BA4" w14:paraId="6ECF2F29" w14:textId="77777777"/>
                        <w:p w:rsidR="0059261D" w:rsidP="0059261D" w:rsidRDefault="00497377" w14:paraId="1D51388D" w14:textId="77777777">
                          <w:pPr>
                            <w:pStyle w:val="Otsikko3"/>
                          </w:pPr>
                          <w:r>
                            <w:rPr>
                              <w:lang w:val="fi"/>
                            </w:rPr>
                            <w:t>SAFE2EAT</w:t>
                          </w:r>
                        </w:p>
                        <w:p w:rsidR="00506395" w:rsidP="00506395" w:rsidRDefault="00506395" w14:paraId="4FF3280D" w14:textId="77777777"/>
                        <w:p w:rsidRPr="00506395" w:rsidR="00506395" w:rsidP="00506395" w:rsidRDefault="00506395" w14:paraId="3E5468B8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5AA5A8">
              <v:stroke joinstyle="miter"/>
              <v:path gradientshapeok="t" o:connecttype="rect"/>
            </v:shapetype>
            <v:shape id="Zone de texte 136" style="position:absolute;left:0;text-align:left;margin-left:-7.2pt;margin-top:-1.3pt;width:356.55pt;height:1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">
              <v:textbox>
                <w:txbxContent>
                  <w:p w:rsidR="0059261D" w:rsidP="0059261D" w:rsidRDefault="00497377" w14:paraId="78A565F0" w14:textId="77777777">
                    <w:pPr>
                      <w:pStyle w:val="Otsikko4"/>
                    </w:pPr>
                    <w:r>
                      <w:rPr>
                        <w:lang w:val="fi"/>
                      </w:rPr>
                      <w:t xml:space="preserve">LEHDISTÖTIEDOTE </w:t>
                    </w:r>
                  </w:p>
                  <w:p w:rsidRPr="009E6BA4" w:rsidR="009E6BA4" w:rsidP="009E6BA4" w:rsidRDefault="00497377" w14:paraId="7C4499DA" w14:textId="77777777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  <w:lang w:val="fi"/>
                      </w:rPr>
                      <w:t>Vapaa julkaistavaksi heti</w:t>
                    </w:r>
                  </w:p>
                  <w:p w:rsidRPr="009E6BA4" w:rsidR="009E6BA4" w:rsidP="009E6BA4" w:rsidRDefault="009E6BA4" w14:paraId="6ECF2F29" w14:textId="77777777"/>
                  <w:p w:rsidR="0059261D" w:rsidP="0059261D" w:rsidRDefault="00497377" w14:paraId="1D51388D" w14:textId="77777777">
                    <w:pPr>
                      <w:pStyle w:val="Otsikko3"/>
                    </w:pPr>
                    <w:r>
                      <w:rPr>
                        <w:lang w:val="fi"/>
                      </w:rPr>
                      <w:t>SAFE2EAT</w:t>
                    </w:r>
                  </w:p>
                  <w:p w:rsidR="00506395" w:rsidP="00506395" w:rsidRDefault="00506395" w14:paraId="4FF3280D" w14:textId="77777777"/>
                  <w:p w:rsidRPr="00506395" w:rsidR="00506395" w:rsidP="00506395" w:rsidRDefault="00506395" w14:paraId="3E5468B8" w14:textId="77777777"/>
                </w:txbxContent>
              </v:textbox>
            </v:shape>
          </w:pict>
        </mc:Fallback>
      </mc:AlternateContent>
    </w:r>
    <w:r>
      <w:rPr>
        <w:noProof/>
        <w:lang w:val="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3FABB" wp14:editId="7946B597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1" style="width:595.15pt;height:155.9pt;margin-top:-35.45pt;margin-left:-8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8240" o:spid="_x0000_s2052" fillcolor="#787878" stroked="f" strokeweight="1pt"/>
          </w:pict>
        </mc:Fallback>
      </mc:AlternateContent>
    </w:r>
  </w:p>
  <w:p w:rsidR="00EA7E45" w:rsidRDefault="00497377" w14:paraId="3971B630" w14:textId="77777777">
    <w:pPr>
      <w:pStyle w:val="Yltunniste"/>
    </w:pPr>
    <w:r>
      <w:rPr>
        <w:noProof/>
        <w:lang w:val="f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B16402" wp14:editId="385667D6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6" style="width:69.55pt;height:5.65pt;margin-top:29.4pt;margin-left:0.05pt;mso-width-percent:0;mso-width-relative:margin;mso-wrap-distance-bottom:0;mso-wrap-distance-left:9pt;mso-wrap-distance-right:9pt;mso-wrap-distance-top:0;mso-wrap-style:square;position:absolute;visibility:visible;v-text-anchor:middle;z-index:251670528" o:spid="_x0000_s2053" fillcolor="white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43A5"/>
    <w:multiLevelType w:val="hybridMultilevel"/>
    <w:tmpl w:val="13783F9E"/>
    <w:lvl w:ilvl="0" w:tplc="120006D2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color w:val="4472C4" w:themeColor="accent1"/>
        <w:sz w:val="18"/>
      </w:rPr>
    </w:lvl>
    <w:lvl w:ilvl="1" w:tplc="12CEDCA0">
      <w:start w:val="1"/>
      <w:numFmt w:val="bullet"/>
      <w:pStyle w:val="Listparalevel2"/>
      <w:lvlText w:val="o"/>
      <w:lvlJc w:val="left"/>
      <w:pPr>
        <w:ind w:left="2576" w:hanging="360"/>
      </w:pPr>
      <w:rPr>
        <w:rFonts w:hint="default" w:ascii="Courier New" w:hAnsi="Courier New" w:cs="Courier New"/>
      </w:rPr>
    </w:lvl>
    <w:lvl w:ilvl="2" w:tplc="62A23916">
      <w:start w:val="1"/>
      <w:numFmt w:val="bullet"/>
      <w:pStyle w:val="Listparalevel3"/>
      <w:lvlText w:val=""/>
      <w:lvlJc w:val="left"/>
      <w:pPr>
        <w:ind w:left="3296" w:hanging="360"/>
      </w:pPr>
      <w:rPr>
        <w:rFonts w:hint="default" w:ascii="Wingdings" w:hAnsi="Wingdings"/>
      </w:rPr>
    </w:lvl>
    <w:lvl w:ilvl="3" w:tplc="914470B0" w:tentative="1">
      <w:start w:val="1"/>
      <w:numFmt w:val="bullet"/>
      <w:lvlText w:val=""/>
      <w:lvlJc w:val="left"/>
      <w:pPr>
        <w:ind w:left="4016" w:hanging="360"/>
      </w:pPr>
      <w:rPr>
        <w:rFonts w:hint="default" w:ascii="Symbol" w:hAnsi="Symbol"/>
      </w:rPr>
    </w:lvl>
    <w:lvl w:ilvl="4" w:tplc="A2E4A788" w:tentative="1">
      <w:start w:val="1"/>
      <w:numFmt w:val="bullet"/>
      <w:lvlText w:val="o"/>
      <w:lvlJc w:val="left"/>
      <w:pPr>
        <w:ind w:left="4736" w:hanging="360"/>
      </w:pPr>
      <w:rPr>
        <w:rFonts w:hint="default" w:ascii="Courier New" w:hAnsi="Courier New" w:cs="Courier New"/>
      </w:rPr>
    </w:lvl>
    <w:lvl w:ilvl="5" w:tplc="BC8487FC" w:tentative="1">
      <w:start w:val="1"/>
      <w:numFmt w:val="bullet"/>
      <w:lvlText w:val=""/>
      <w:lvlJc w:val="left"/>
      <w:pPr>
        <w:ind w:left="5456" w:hanging="360"/>
      </w:pPr>
      <w:rPr>
        <w:rFonts w:hint="default" w:ascii="Wingdings" w:hAnsi="Wingdings"/>
      </w:rPr>
    </w:lvl>
    <w:lvl w:ilvl="6" w:tplc="4F829B18" w:tentative="1">
      <w:start w:val="1"/>
      <w:numFmt w:val="bullet"/>
      <w:lvlText w:val=""/>
      <w:lvlJc w:val="left"/>
      <w:pPr>
        <w:ind w:left="6176" w:hanging="360"/>
      </w:pPr>
      <w:rPr>
        <w:rFonts w:hint="default" w:ascii="Symbol" w:hAnsi="Symbol"/>
      </w:rPr>
    </w:lvl>
    <w:lvl w:ilvl="7" w:tplc="7F264050" w:tentative="1">
      <w:start w:val="1"/>
      <w:numFmt w:val="bullet"/>
      <w:lvlText w:val="o"/>
      <w:lvlJc w:val="left"/>
      <w:pPr>
        <w:ind w:left="6896" w:hanging="360"/>
      </w:pPr>
      <w:rPr>
        <w:rFonts w:hint="default" w:ascii="Courier New" w:hAnsi="Courier New" w:cs="Courier New"/>
      </w:rPr>
    </w:lvl>
    <w:lvl w:ilvl="8" w:tplc="C688D89E" w:tentative="1">
      <w:start w:val="1"/>
      <w:numFmt w:val="bullet"/>
      <w:lvlText w:val=""/>
      <w:lvlJc w:val="left"/>
      <w:pPr>
        <w:ind w:left="7616" w:hanging="360"/>
      </w:pPr>
      <w:rPr>
        <w:rFonts w:hint="default" w:ascii="Wingdings" w:hAnsi="Wingdings"/>
      </w:rPr>
    </w:lvl>
  </w:abstractNum>
  <w:abstractNum w:abstractNumId="1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2A54A87"/>
    <w:multiLevelType w:val="hybridMultilevel"/>
    <w:tmpl w:val="55CAB824"/>
    <w:lvl w:ilvl="0" w:tplc="38A8FA00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62FE2BDA" w:tentative="1">
      <w:start w:val="1"/>
      <w:numFmt w:val="lowerLetter"/>
      <w:lvlText w:val="%2."/>
      <w:lvlJc w:val="left"/>
      <w:pPr>
        <w:ind w:left="1440" w:hanging="360"/>
      </w:pPr>
    </w:lvl>
    <w:lvl w:ilvl="2" w:tplc="BE8220A0" w:tentative="1">
      <w:start w:val="1"/>
      <w:numFmt w:val="lowerRoman"/>
      <w:lvlText w:val="%3."/>
      <w:lvlJc w:val="right"/>
      <w:pPr>
        <w:ind w:left="2160" w:hanging="180"/>
      </w:pPr>
    </w:lvl>
    <w:lvl w:ilvl="3" w:tplc="0B2E1F52" w:tentative="1">
      <w:start w:val="1"/>
      <w:numFmt w:val="decimal"/>
      <w:lvlText w:val="%4."/>
      <w:lvlJc w:val="left"/>
      <w:pPr>
        <w:ind w:left="2880" w:hanging="360"/>
      </w:pPr>
    </w:lvl>
    <w:lvl w:ilvl="4" w:tplc="E97E29A2" w:tentative="1">
      <w:start w:val="1"/>
      <w:numFmt w:val="lowerLetter"/>
      <w:lvlText w:val="%5."/>
      <w:lvlJc w:val="left"/>
      <w:pPr>
        <w:ind w:left="3600" w:hanging="360"/>
      </w:pPr>
    </w:lvl>
    <w:lvl w:ilvl="5" w:tplc="BA0CF83A" w:tentative="1">
      <w:start w:val="1"/>
      <w:numFmt w:val="lowerRoman"/>
      <w:lvlText w:val="%6."/>
      <w:lvlJc w:val="right"/>
      <w:pPr>
        <w:ind w:left="4320" w:hanging="180"/>
      </w:pPr>
    </w:lvl>
    <w:lvl w:ilvl="6" w:tplc="88E65CF4" w:tentative="1">
      <w:start w:val="1"/>
      <w:numFmt w:val="decimal"/>
      <w:lvlText w:val="%7."/>
      <w:lvlJc w:val="left"/>
      <w:pPr>
        <w:ind w:left="5040" w:hanging="360"/>
      </w:pPr>
    </w:lvl>
    <w:lvl w:ilvl="7" w:tplc="7AB01316" w:tentative="1">
      <w:start w:val="1"/>
      <w:numFmt w:val="lowerLetter"/>
      <w:lvlText w:val="%8."/>
      <w:lvlJc w:val="left"/>
      <w:pPr>
        <w:ind w:left="5760" w:hanging="360"/>
      </w:pPr>
    </w:lvl>
    <w:lvl w:ilvl="8" w:tplc="957AF6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79683">
    <w:abstractNumId w:val="0"/>
  </w:num>
  <w:num w:numId="2" w16cid:durableId="1313293450">
    <w:abstractNumId w:val="0"/>
  </w:num>
  <w:num w:numId="3" w16cid:durableId="1927422427">
    <w:abstractNumId w:val="2"/>
  </w:num>
  <w:num w:numId="4" w16cid:durableId="760833658">
    <w:abstractNumId w:val="0"/>
  </w:num>
  <w:num w:numId="5" w16cid:durableId="881215481">
    <w:abstractNumId w:val="0"/>
  </w:num>
  <w:num w:numId="6" w16cid:durableId="1213349701">
    <w:abstractNumId w:val="2"/>
  </w:num>
  <w:num w:numId="7" w16cid:durableId="213440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2430D"/>
    <w:rsid w:val="0002547B"/>
    <w:rsid w:val="00056D3B"/>
    <w:rsid w:val="000B6425"/>
    <w:rsid w:val="000E674D"/>
    <w:rsid w:val="000F09FC"/>
    <w:rsid w:val="00111471"/>
    <w:rsid w:val="00120CDF"/>
    <w:rsid w:val="00126E4D"/>
    <w:rsid w:val="0013355C"/>
    <w:rsid w:val="00141C72"/>
    <w:rsid w:val="00146CC7"/>
    <w:rsid w:val="001715A9"/>
    <w:rsid w:val="00175661"/>
    <w:rsid w:val="00176062"/>
    <w:rsid w:val="001A0E65"/>
    <w:rsid w:val="001A0FE4"/>
    <w:rsid w:val="001C2F8C"/>
    <w:rsid w:val="001F0CA3"/>
    <w:rsid w:val="001F6E80"/>
    <w:rsid w:val="0022193D"/>
    <w:rsid w:val="002329F1"/>
    <w:rsid w:val="00246A65"/>
    <w:rsid w:val="00256EAA"/>
    <w:rsid w:val="00281359"/>
    <w:rsid w:val="002954A7"/>
    <w:rsid w:val="002A40AD"/>
    <w:rsid w:val="002A4DB9"/>
    <w:rsid w:val="002B7BB9"/>
    <w:rsid w:val="00306FA4"/>
    <w:rsid w:val="00323A85"/>
    <w:rsid w:val="00351686"/>
    <w:rsid w:val="00367010"/>
    <w:rsid w:val="0037394E"/>
    <w:rsid w:val="003940BB"/>
    <w:rsid w:val="003A0FE5"/>
    <w:rsid w:val="003B46F5"/>
    <w:rsid w:val="00416D44"/>
    <w:rsid w:val="00420179"/>
    <w:rsid w:val="00485919"/>
    <w:rsid w:val="00497377"/>
    <w:rsid w:val="004A0F9D"/>
    <w:rsid w:val="004A79D0"/>
    <w:rsid w:val="004D13EB"/>
    <w:rsid w:val="00505B02"/>
    <w:rsid w:val="00506395"/>
    <w:rsid w:val="00507A72"/>
    <w:rsid w:val="00534718"/>
    <w:rsid w:val="0053677B"/>
    <w:rsid w:val="005448DC"/>
    <w:rsid w:val="0059261D"/>
    <w:rsid w:val="005B3B3E"/>
    <w:rsid w:val="005B583F"/>
    <w:rsid w:val="00634CDE"/>
    <w:rsid w:val="00646253"/>
    <w:rsid w:val="0066136C"/>
    <w:rsid w:val="00680706"/>
    <w:rsid w:val="00681686"/>
    <w:rsid w:val="006B6300"/>
    <w:rsid w:val="00702B23"/>
    <w:rsid w:val="00706872"/>
    <w:rsid w:val="0075657E"/>
    <w:rsid w:val="00765D55"/>
    <w:rsid w:val="007872B4"/>
    <w:rsid w:val="00795E02"/>
    <w:rsid w:val="007F41FE"/>
    <w:rsid w:val="007F51E4"/>
    <w:rsid w:val="00835EF5"/>
    <w:rsid w:val="008A4870"/>
    <w:rsid w:val="008A6C2F"/>
    <w:rsid w:val="008C7ADB"/>
    <w:rsid w:val="008D1815"/>
    <w:rsid w:val="009071EE"/>
    <w:rsid w:val="009137DC"/>
    <w:rsid w:val="00915A8F"/>
    <w:rsid w:val="009253BD"/>
    <w:rsid w:val="0093247C"/>
    <w:rsid w:val="0094370A"/>
    <w:rsid w:val="009610A5"/>
    <w:rsid w:val="00970608"/>
    <w:rsid w:val="00986DB4"/>
    <w:rsid w:val="009A5CDA"/>
    <w:rsid w:val="009B11AD"/>
    <w:rsid w:val="009B4AAF"/>
    <w:rsid w:val="009B7DC9"/>
    <w:rsid w:val="009E6BA4"/>
    <w:rsid w:val="00A11232"/>
    <w:rsid w:val="00A1131A"/>
    <w:rsid w:val="00A4388E"/>
    <w:rsid w:val="00A73710"/>
    <w:rsid w:val="00A822F7"/>
    <w:rsid w:val="00A8408B"/>
    <w:rsid w:val="00AC7A94"/>
    <w:rsid w:val="00AD6F56"/>
    <w:rsid w:val="00B301A0"/>
    <w:rsid w:val="00B350F9"/>
    <w:rsid w:val="00B81833"/>
    <w:rsid w:val="00BB181B"/>
    <w:rsid w:val="00BC5CD7"/>
    <w:rsid w:val="00BE13CD"/>
    <w:rsid w:val="00BF76DA"/>
    <w:rsid w:val="00C076C5"/>
    <w:rsid w:val="00C1789E"/>
    <w:rsid w:val="00C44653"/>
    <w:rsid w:val="00C8132D"/>
    <w:rsid w:val="00D156BC"/>
    <w:rsid w:val="00D81BB5"/>
    <w:rsid w:val="00D84CE5"/>
    <w:rsid w:val="00E77189"/>
    <w:rsid w:val="00E835D1"/>
    <w:rsid w:val="00E92BF5"/>
    <w:rsid w:val="00EA7E45"/>
    <w:rsid w:val="00ED0B0B"/>
    <w:rsid w:val="00EE23D8"/>
    <w:rsid w:val="00F224AF"/>
    <w:rsid w:val="00F65EDD"/>
    <w:rsid w:val="00F66384"/>
    <w:rsid w:val="00FA70D7"/>
    <w:rsid w:val="00FB1EB5"/>
    <w:rsid w:val="00FD3F09"/>
    <w:rsid w:val="00FE4DFC"/>
    <w:rsid w:val="01654491"/>
    <w:rsid w:val="04645239"/>
    <w:rsid w:val="051B6C9D"/>
    <w:rsid w:val="0CA78F1C"/>
    <w:rsid w:val="0F9C67B8"/>
    <w:rsid w:val="143423DB"/>
    <w:rsid w:val="15B63BAF"/>
    <w:rsid w:val="166D4A1B"/>
    <w:rsid w:val="19808140"/>
    <w:rsid w:val="1A2D90AC"/>
    <w:rsid w:val="1B97ADFE"/>
    <w:rsid w:val="1BAB1F56"/>
    <w:rsid w:val="1BACB661"/>
    <w:rsid w:val="1C4C3DEA"/>
    <w:rsid w:val="1D9E9D01"/>
    <w:rsid w:val="219055A6"/>
    <w:rsid w:val="225C86F8"/>
    <w:rsid w:val="239D3364"/>
    <w:rsid w:val="23A85BC6"/>
    <w:rsid w:val="2539AB40"/>
    <w:rsid w:val="269E4BE1"/>
    <w:rsid w:val="2711A4AA"/>
    <w:rsid w:val="292422F4"/>
    <w:rsid w:val="29B71E67"/>
    <w:rsid w:val="29CA8CCF"/>
    <w:rsid w:val="29F39622"/>
    <w:rsid w:val="2A36ACA4"/>
    <w:rsid w:val="2A62B200"/>
    <w:rsid w:val="36066FB8"/>
    <w:rsid w:val="37F9C0C8"/>
    <w:rsid w:val="43A98CAD"/>
    <w:rsid w:val="43EA1692"/>
    <w:rsid w:val="44863588"/>
    <w:rsid w:val="44C54B7B"/>
    <w:rsid w:val="478F274A"/>
    <w:rsid w:val="48039ACC"/>
    <w:rsid w:val="492AC0E8"/>
    <w:rsid w:val="4AF83744"/>
    <w:rsid w:val="4BF066A2"/>
    <w:rsid w:val="4E8D4B81"/>
    <w:rsid w:val="51498117"/>
    <w:rsid w:val="53A552F5"/>
    <w:rsid w:val="53EA54EC"/>
    <w:rsid w:val="55F7C8E5"/>
    <w:rsid w:val="576F57A6"/>
    <w:rsid w:val="579BE6A5"/>
    <w:rsid w:val="57EDEF5D"/>
    <w:rsid w:val="58EEB9AB"/>
    <w:rsid w:val="59E983FD"/>
    <w:rsid w:val="5A2E98D9"/>
    <w:rsid w:val="5D22AF95"/>
    <w:rsid w:val="5E13CB2A"/>
    <w:rsid w:val="64A621B6"/>
    <w:rsid w:val="690DDD7F"/>
    <w:rsid w:val="6BF166B9"/>
    <w:rsid w:val="7050BDA9"/>
    <w:rsid w:val="71784B76"/>
    <w:rsid w:val="7260B8A8"/>
    <w:rsid w:val="7621942E"/>
    <w:rsid w:val="7A55709A"/>
    <w:rsid w:val="7A9566F0"/>
    <w:rsid w:val="7BDF1AF9"/>
    <w:rsid w:val="7D986F20"/>
    <w:rsid w:val="7F2A0FC6"/>
    <w:rsid w:val="7F5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9685"/>
  <w15:chartTrackingRefBased/>
  <w15:docId w15:val="{5383160D-CF68-D243-A538-BAAC353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Otsikko1">
    <w:name w:val="heading 1"/>
    <w:aliases w:val="3 - Contact"/>
    <w:basedOn w:val="Normaali"/>
    <w:next w:val="Normaali"/>
    <w:link w:val="Otsikko1Char"/>
    <w:uiPriority w:val="9"/>
    <w:qFormat/>
    <w:rsid w:val="00120CDF"/>
    <w:pPr>
      <w:spacing w:after="0"/>
      <w:ind w:right="0"/>
      <w:outlineLvl w:val="0"/>
    </w:pPr>
  </w:style>
  <w:style w:type="paragraph" w:styleId="Otsikko2">
    <w:name w:val="heading 2"/>
    <w:aliases w:val="5 - Optional subheadline"/>
    <w:basedOn w:val="Normaali"/>
    <w:next w:val="Normaali"/>
    <w:link w:val="Otsikko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Otsikko3">
    <w:name w:val="heading 3"/>
    <w:aliases w:val="2 - Headline header"/>
    <w:basedOn w:val="Normaali"/>
    <w:next w:val="Normaali"/>
    <w:link w:val="Otsikko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Otsikko4">
    <w:name w:val="heading 4"/>
    <w:aliases w:val="1 - Date &amp; Press release"/>
    <w:basedOn w:val="Normaali"/>
    <w:next w:val="Normaali"/>
    <w:link w:val="Otsikko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Otsikko5">
    <w:name w:val="heading 5"/>
    <w:aliases w:val="4 - Headline body"/>
    <w:basedOn w:val="Otsikko1"/>
    <w:next w:val="Normaali"/>
    <w:link w:val="Otsikko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istparalevel2" w:customStyle="1">
    <w:name w:val="List para level 2"/>
    <w:basedOn w:val="Luettelokappale"/>
    <w:link w:val="Listparalevel2Char"/>
    <w:rsid w:val="00A11232"/>
    <w:pPr>
      <w:numPr>
        <w:ilvl w:val="1"/>
        <w:numId w:val="5"/>
      </w:numPr>
    </w:pPr>
  </w:style>
  <w:style w:type="character" w:styleId="Listparalevel2Char" w:customStyle="1">
    <w:name w:val="List para level 2 Char"/>
    <w:basedOn w:val="LuettelokappaleChar"/>
    <w:link w:val="Listparalevel2"/>
    <w:rsid w:val="00A11232"/>
    <w:rPr>
      <w:noProof/>
      <w:color w:val="787878"/>
      <w:sz w:val="19"/>
      <w:lang w:val="fr-FR"/>
    </w:rPr>
  </w:style>
  <w:style w:type="paragraph" w:styleId="Luettelokappale">
    <w:name w:val="List Paragraph"/>
    <w:basedOn w:val="Normaali"/>
    <w:link w:val="LuettelokappaleChar"/>
    <w:uiPriority w:val="34"/>
    <w:rsid w:val="00A11232"/>
    <w:pPr>
      <w:spacing w:after="0"/>
      <w:contextualSpacing/>
    </w:pPr>
    <w:rPr>
      <w:noProof/>
      <w:lang w:val="fr-FR"/>
    </w:rPr>
  </w:style>
  <w:style w:type="paragraph" w:styleId="Listparalevel3" w:customStyle="1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styleId="Listparalevel3Char" w:customStyle="1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styleId="listnumgreen" w:customStyle="1">
    <w:name w:val="list num green"/>
    <w:basedOn w:val="Luettelokappale"/>
    <w:rsid w:val="00A11232"/>
    <w:pPr>
      <w:numPr>
        <w:numId w:val="6"/>
      </w:numPr>
    </w:pPr>
  </w:style>
  <w:style w:type="paragraph" w:styleId="Contact" w:customStyle="1">
    <w:name w:val="Contact"/>
    <w:basedOn w:val="Normaali"/>
    <w:qFormat/>
    <w:rsid w:val="00A11232"/>
    <w:pPr>
      <w:spacing w:after="0"/>
      <w:ind w:right="-425"/>
    </w:pPr>
  </w:style>
  <w:style w:type="character" w:styleId="Otsikko1Char" w:customStyle="1">
    <w:name w:val="Otsikko 1 Char"/>
    <w:aliases w:val="3 - Contact Char"/>
    <w:basedOn w:val="Kappaleenoletusfontti"/>
    <w:link w:val="Otsikko1"/>
    <w:uiPriority w:val="9"/>
    <w:rsid w:val="00120CDF"/>
    <w:rPr>
      <w:color w:val="22294D"/>
      <w:sz w:val="19"/>
      <w:lang w:val="en-US"/>
    </w:rPr>
  </w:style>
  <w:style w:type="character" w:styleId="Otsikko2Char" w:customStyle="1">
    <w:name w:val="Otsikko 2 Char"/>
    <w:aliases w:val="5 - Optional subheadline Char"/>
    <w:basedOn w:val="Kappaleenoletusfontti"/>
    <w:link w:val="Otsikko2"/>
    <w:uiPriority w:val="9"/>
    <w:rsid w:val="00120CDF"/>
    <w:rPr>
      <w:b/>
      <w:bCs/>
      <w:color w:val="22294D"/>
      <w:sz w:val="36"/>
      <w:szCs w:val="36"/>
      <w:lang w:val="en-US"/>
    </w:rPr>
  </w:style>
  <w:style w:type="character" w:styleId="Otsikko3Char" w:customStyle="1">
    <w:name w:val="Otsikko 3 Char"/>
    <w:aliases w:val="2 - Headline header Char"/>
    <w:basedOn w:val="Kappaleenoletusfontti"/>
    <w:link w:val="Otsikko3"/>
    <w:uiPriority w:val="9"/>
    <w:rsid w:val="0059261D"/>
    <w:rPr>
      <w:color w:val="FFFFFF" w:themeColor="background1"/>
      <w:sz w:val="32"/>
      <w:szCs w:val="32"/>
      <w:lang w:val="en-US"/>
    </w:rPr>
  </w:style>
  <w:style w:type="character" w:styleId="Otsikko4Char" w:customStyle="1">
    <w:name w:val="Otsikko 4 Char"/>
    <w:aliases w:val="1 - Date &amp; Press release Char"/>
    <w:basedOn w:val="Kappaleenoletusfontti"/>
    <w:link w:val="Otsikko4"/>
    <w:uiPriority w:val="9"/>
    <w:rsid w:val="0059261D"/>
    <w:rPr>
      <w:color w:val="FFFFFF" w:themeColor="background1"/>
      <w:sz w:val="24"/>
      <w:szCs w:val="36"/>
      <w:lang w:val="en-US"/>
    </w:rPr>
  </w:style>
  <w:style w:type="character" w:styleId="Otsikko5Char" w:customStyle="1">
    <w:name w:val="Otsikko 5 Char"/>
    <w:aliases w:val="4 - Headline body Char"/>
    <w:basedOn w:val="Kappaleenoletusfontti"/>
    <w:link w:val="Otsikko5"/>
    <w:uiPriority w:val="9"/>
    <w:rsid w:val="00120CDF"/>
    <w:rPr>
      <w:color w:val="22294D"/>
      <w:sz w:val="28"/>
      <w:szCs w:val="28"/>
      <w:lang w:val="en-US"/>
    </w:rPr>
  </w:style>
  <w:style w:type="paragraph" w:styleId="Otsikko">
    <w:name w:val="Title"/>
    <w:aliases w:val="6 - Position"/>
    <w:basedOn w:val="Otsikko2"/>
    <w:next w:val="Normaali"/>
    <w:link w:val="OtsikkoChar"/>
    <w:uiPriority w:val="10"/>
    <w:qFormat/>
    <w:rsid w:val="00EA7E45"/>
    <w:rPr>
      <w:b w:val="0"/>
      <w:bCs w:val="0"/>
      <w:i/>
    </w:rPr>
  </w:style>
  <w:style w:type="character" w:styleId="OtsikkoChar" w:customStyle="1">
    <w:name w:val="Otsikko Char"/>
    <w:aliases w:val="6 - Position Char"/>
    <w:basedOn w:val="Kappaleenoletusfontti"/>
    <w:link w:val="Otsikko"/>
    <w:uiPriority w:val="10"/>
    <w:rsid w:val="00EA7E45"/>
    <w:rPr>
      <w:i/>
      <w:color w:val="22294D"/>
      <w:sz w:val="19"/>
      <w:lang w:val="en-US"/>
    </w:rPr>
  </w:style>
  <w:style w:type="character" w:styleId="LuettelokappaleChar" w:customStyle="1">
    <w:name w:val="Luettelokappale Char"/>
    <w:basedOn w:val="Kappaleenoletusfontti"/>
    <w:link w:val="Luettelokappale"/>
    <w:uiPriority w:val="34"/>
    <w:rsid w:val="00A11232"/>
    <w:rPr>
      <w:noProof/>
      <w:color w:val="787878"/>
      <w:sz w:val="19"/>
      <w:lang w:val="fr-FR"/>
    </w:rPr>
  </w:style>
  <w:style w:type="paragraph" w:styleId="Yltunniste">
    <w:name w:val="header"/>
    <w:basedOn w:val="Normaali"/>
    <w:link w:val="Yltunniste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YltunnisteChar" w:customStyle="1">
    <w:name w:val="Ylätunniste Char"/>
    <w:basedOn w:val="Kappaleenoletusfontti"/>
    <w:link w:val="Yltunniste"/>
    <w:uiPriority w:val="99"/>
    <w:rsid w:val="005B3B3E"/>
    <w:rPr>
      <w:color w:val="787878"/>
      <w:sz w:val="19"/>
      <w:lang w:val="nl-NL"/>
    </w:rPr>
  </w:style>
  <w:style w:type="paragraph" w:styleId="Alatunniste">
    <w:name w:val="footer"/>
    <w:basedOn w:val="Normaali"/>
    <w:link w:val="Alatunniste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AlatunnisteChar" w:customStyle="1">
    <w:name w:val="Alatunniste Char"/>
    <w:basedOn w:val="Kappaleenoletusfontti"/>
    <w:link w:val="Alatunniste"/>
    <w:uiPriority w:val="99"/>
    <w:rsid w:val="005B3B3E"/>
    <w:rPr>
      <w:color w:val="787878"/>
      <w:sz w:val="19"/>
      <w:lang w:val="nl-NL"/>
    </w:rPr>
  </w:style>
  <w:style w:type="character" w:styleId="Paikkamerkkiteksti">
    <w:name w:val="Placeholder Text"/>
    <w:basedOn w:val="Kappaleenoletusfontti"/>
    <w:uiPriority w:val="99"/>
    <w:semiHidden/>
    <w:rsid w:val="0059261D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59261D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246A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ali"/>
    <w:rsid w:val="00506395"/>
    <w:pPr>
      <w:spacing w:before="100" w:beforeAutospacing="1" w:after="100" w:afterAutospacing="1"/>
      <w:ind w:righ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character" w:styleId="eop" w:customStyle="1">
    <w:name w:val="eop"/>
    <w:basedOn w:val="Kappaleenoletusfontti"/>
    <w:rsid w:val="00506395"/>
  </w:style>
  <w:style w:type="character" w:styleId="normaltextrun" w:customStyle="1">
    <w:name w:val="normaltextrun"/>
    <w:basedOn w:val="Kappaleenoletusfontti"/>
    <w:rsid w:val="00506395"/>
  </w:style>
  <w:style w:type="character" w:styleId="tabchar" w:customStyle="1">
    <w:name w:val="tabchar"/>
    <w:basedOn w:val="Kappaleenoletusfontti"/>
    <w:rsid w:val="00506395"/>
  </w:style>
  <w:style w:type="character" w:styleId="Ratkaisematonmaininta">
    <w:name w:val="Unresolved Mention"/>
    <w:basedOn w:val="Kappaleenoletusfontti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D13E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D13EB"/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rsid w:val="004D13EB"/>
    <w:rPr>
      <w:color w:val="22294D"/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D13EB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4D13EB"/>
    <w:rPr>
      <w:b/>
      <w:bCs/>
      <w:color w:val="22294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ress@efsa.europa.eu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fsa.europa.eu/en/safe2eat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368f1-8b3d-436b-8b27-811514ce3001">
      <Terms xmlns="http://schemas.microsoft.com/office/infopath/2007/PartnerControls"/>
    </lcf76f155ced4ddcb4097134ff3c332f>
    <TaxCatchAll xmlns="89653cd1-c1a4-4050-8311-3f96f910c3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5384B-A0E1-4494-A49D-4C8C69F58C8F}"/>
</file>

<file path=customXml/itemProps2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A0415B-EFDC-4F3D-9A18-0D25E396FF0B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24a01684-1a2a-406c-9800-227e6ea0d198"/>
    <ds:schemaRef ds:uri="http://schemas.microsoft.com/office/2006/documentManagement/types"/>
    <ds:schemaRef ds:uri="http://schemas.microsoft.com/office/2006/metadata/properties"/>
    <ds:schemaRef ds:uri="b46b0888-3a4a-41d6-b186-0947ac4cbdb1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GARCIA GOMEZ Matilde</ap:Manager>
  <ap:Company>European Food Safety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SAFE2EAT</dc:title>
  <dc:creator>GARCIA GOMEZ Matilde</dc:creator>
  <lastModifiedBy>Barabucci, Claudia</lastModifiedBy>
  <revision>6</revision>
  <dcterms:created xsi:type="dcterms:W3CDTF">2025-03-20T19:17:00.0000000Z</dcterms:created>
  <dcterms:modified xsi:type="dcterms:W3CDTF">2025-03-27T08:10:28.9017210Z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0x01010006356EEDEAE7F14A88356AAC92EB024A</vt:lpwstr>
  </property>
  <property fmtid="{D5CDD505-2E9C-101B-9397-08002B2CF9AE}" pid="4" name="MediaServiceImageTags">
    <vt:lpwstr/>
  </property>
  <property fmtid="{D5CDD505-2E9C-101B-9397-08002B2CF9AE}" pid="5" name="Order">
    <vt:r8>4200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