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32F0"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1EFE90B"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4BCC2C41" w14:textId="77777777" w:rsidR="000D09ED"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2CA8A9C" w14:textId="77777777" w:rsidR="008C1913" w:rsidRPr="002241E7" w:rsidRDefault="00EC2B9B" w:rsidP="008C1913">
      <w:pPr>
        <w:pStyle w:val="paragraph"/>
        <w:spacing w:before="0" w:beforeAutospacing="0" w:after="0" w:afterAutospacing="0"/>
        <w:jc w:val="both"/>
        <w:textAlignment w:val="baseline"/>
        <w:rPr>
          <w:rFonts w:ascii="Calibri" w:hAnsi="Calibri" w:cs="Calibri"/>
          <w:sz w:val="18"/>
          <w:szCs w:val="18"/>
          <w:lang w:val="es-ES"/>
        </w:rPr>
      </w:pPr>
      <w:r>
        <w:rPr>
          <w:rStyle w:val="normaltextrun"/>
          <w:rFonts w:ascii="Calibri" w:hAnsi="Calibri" w:cs="Calibri"/>
          <w:b/>
          <w:bCs/>
          <w:color w:val="1A4489"/>
          <w:sz w:val="36"/>
          <w:szCs w:val="36"/>
          <w:lang w:val="es-ES"/>
        </w:rPr>
        <w:t>Ciencia de confianza para la seguridad alimentaria en Europa</w:t>
      </w:r>
      <w:r>
        <w:rPr>
          <w:rStyle w:val="normaltextrun"/>
          <w:rFonts w:ascii="Calibri" w:hAnsi="Calibri" w:cs="Calibri"/>
          <w:color w:val="1A4489"/>
          <w:sz w:val="36"/>
          <w:szCs w:val="36"/>
          <w:lang w:val="es-ES"/>
        </w:rPr>
        <w:t> </w:t>
      </w:r>
      <w:r>
        <w:rPr>
          <w:rStyle w:val="eop"/>
          <w:rFonts w:ascii="Calibri" w:hAnsi="Calibri" w:cs="Calibri"/>
          <w:color w:val="1A4489"/>
          <w:sz w:val="36"/>
          <w:szCs w:val="36"/>
          <w:lang w:val="es-ES"/>
        </w:rPr>
        <w:t> </w:t>
      </w:r>
    </w:p>
    <w:p w14:paraId="5F346A12" w14:textId="1C74DC7B" w:rsidR="00351ECF" w:rsidRPr="002241E7" w:rsidRDefault="00EC2B9B" w:rsidP="00351ECF">
      <w:pPr>
        <w:pStyle w:val="paragraph"/>
        <w:spacing w:before="0" w:beforeAutospacing="0" w:after="0" w:afterAutospacing="0"/>
        <w:jc w:val="both"/>
        <w:textAlignment w:val="baseline"/>
        <w:rPr>
          <w:rStyle w:val="eop"/>
          <w:rFonts w:ascii="Calibri" w:hAnsi="Calibri" w:cs="Calibri"/>
          <w:strike/>
          <w:color w:val="000000"/>
          <w:lang w:val="es-ES"/>
        </w:rPr>
      </w:pPr>
      <w:r>
        <w:rPr>
          <w:rStyle w:val="scxw95617525"/>
          <w:rFonts w:ascii="Calibri" w:hAnsi="Calibri" w:cs="Calibri"/>
          <w:sz w:val="20"/>
          <w:szCs w:val="20"/>
          <w:lang w:val="es-ES"/>
        </w:rPr>
        <w:t> </w:t>
      </w:r>
      <w:r>
        <w:rPr>
          <w:lang w:val="es-ES"/>
        </w:rPr>
        <w:br/>
      </w:r>
      <w:r>
        <w:rPr>
          <w:rStyle w:val="normaltextrun"/>
          <w:rFonts w:ascii="Calibri" w:hAnsi="Calibri" w:cs="Calibri"/>
          <w:color w:val="000000" w:themeColor="text1"/>
          <w:lang w:val="es-ES"/>
        </w:rPr>
        <w:t>La Unión Europea (UE) cuenta con uno de los sistemas de seguridad alimentaria más rigurosos del mundo. Este sistema, respaldado por los últimos conocimientos científicos, conlleva una estrecha colaboración entre la Autoridad Europea de Seguridad Alimentaria (EFSA) y las autoridades nacionales de seguridad alimentaria de toda Europa</w:t>
      </w:r>
      <w:r w:rsidR="00475391">
        <w:rPr>
          <w:rStyle w:val="normaltextrun"/>
          <w:rFonts w:ascii="Calibri" w:hAnsi="Calibri" w:cs="Calibri"/>
          <w:color w:val="000000" w:themeColor="text1"/>
          <w:lang w:val="es-ES"/>
        </w:rPr>
        <w:t>.</w:t>
      </w:r>
    </w:p>
    <w:p w14:paraId="78D627DA"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p>
    <w:p w14:paraId="4AC3C4F0"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p>
    <w:p w14:paraId="03BBFFB5" w14:textId="77777777" w:rsidR="00F44AE5" w:rsidRDefault="00F44AE5" w:rsidP="008C1913">
      <w:pPr>
        <w:pStyle w:val="paragraph"/>
        <w:spacing w:before="0" w:beforeAutospacing="0" w:after="0" w:afterAutospacing="0"/>
        <w:jc w:val="both"/>
        <w:textAlignment w:val="baseline"/>
        <w:rPr>
          <w:rStyle w:val="normaltextrun"/>
          <w:rFonts w:ascii="Calibri" w:hAnsi="Calibri" w:cs="Calibri"/>
          <w:color w:val="000000" w:themeColor="text1"/>
          <w:lang w:val="es-ES"/>
        </w:rPr>
      </w:pPr>
      <w:r w:rsidRPr="00F44AE5">
        <w:rPr>
          <w:rStyle w:val="normaltextrun"/>
          <w:rFonts w:ascii="Calibri" w:hAnsi="Calibri" w:cs="Calibri"/>
          <w:color w:val="000000" w:themeColor="text1"/>
          <w:lang w:val="es-ES"/>
        </w:rPr>
        <w:t xml:space="preserve">Personas científicas de alto nivel de toda la UE llevan a cabo evaluaciones y ofrecen asesoramiento sobre seguridad alimentaria y nutrición, y trabajan codo con codo con otras personas evaluadoras de riesgos, productoras, organizaciones de personas consumidoras y grupos de la sociedad civil, tanto nacionales como internacionales. En conjunto, combinan los conocimientos nacionales y de la UE, garantizando que se utilicen los últimos datos científicos para salvaguardar la seguridad alimentaria de la población europea.  </w:t>
      </w:r>
    </w:p>
    <w:p w14:paraId="34EA902D" w14:textId="5E4D66F1" w:rsidR="008C1913" w:rsidRPr="002241E7" w:rsidRDefault="008C1913" w:rsidP="008C1913">
      <w:pPr>
        <w:pStyle w:val="paragraph"/>
        <w:spacing w:before="0" w:beforeAutospacing="0" w:after="0" w:afterAutospacing="0"/>
        <w:jc w:val="both"/>
        <w:textAlignment w:val="baseline"/>
        <w:rPr>
          <w:rFonts w:ascii="Calibri" w:hAnsi="Calibri" w:cs="Calibri"/>
          <w:sz w:val="20"/>
          <w:szCs w:val="20"/>
          <w:lang w:val="es-ES"/>
        </w:rPr>
      </w:pPr>
    </w:p>
    <w:p w14:paraId="25A9F022" w14:textId="77777777" w:rsidR="008C1913" w:rsidRPr="002241E7" w:rsidRDefault="00EC2B9B" w:rsidP="00A80FE6">
      <w:pPr>
        <w:spacing w:before="240" w:after="240"/>
        <w:rPr>
          <w:rFonts w:ascii="Calibri" w:eastAsia="Calibri" w:hAnsi="Calibri" w:cs="Calibri"/>
          <w:b/>
          <w:bCs/>
          <w:color w:val="1A4489"/>
          <w:sz w:val="36"/>
          <w:szCs w:val="36"/>
          <w:lang w:val="es-ES"/>
        </w:rPr>
      </w:pPr>
      <w:r>
        <w:rPr>
          <w:rFonts w:ascii="Calibri" w:eastAsia="Calibri" w:hAnsi="Calibri" w:cs="Calibri"/>
          <w:b/>
          <w:bCs/>
          <w:color w:val="1A4489"/>
          <w:sz w:val="36"/>
          <w:szCs w:val="36"/>
          <w:lang w:val="es-ES"/>
        </w:rPr>
        <w:t xml:space="preserve"> ¿Qué es lo más importante a la hora de elegir un alimento?</w:t>
      </w:r>
    </w:p>
    <w:p w14:paraId="036DFD68" w14:textId="1483416D" w:rsidR="008C1913" w:rsidRPr="002241E7" w:rsidRDefault="00EC2B9B" w:rsidP="0E46BC16">
      <w:pPr>
        <w:pStyle w:val="paragraph"/>
        <w:spacing w:before="0" w:beforeAutospacing="0" w:after="0" w:afterAutospacing="0"/>
        <w:jc w:val="both"/>
        <w:rPr>
          <w:rFonts w:ascii="Calibri" w:hAnsi="Calibri" w:cs="Calibri"/>
          <w:sz w:val="18"/>
          <w:szCs w:val="18"/>
          <w:lang w:val="es-ES"/>
        </w:rPr>
      </w:pPr>
      <w:r>
        <w:rPr>
          <w:rStyle w:val="eop"/>
          <w:rFonts w:ascii="Calibri" w:hAnsi="Calibri" w:cs="Calibri"/>
          <w:color w:val="000000" w:themeColor="text1"/>
          <w:lang w:val="es-ES"/>
        </w:rPr>
        <w:t>Cada día tomamos innumerables decisiones sobre alimentos, en las que influyen una serie de factores. Según una encuesta de Ipsos sobre el impacto de la campaña «Safe2Eat» 2024, el sabor ocupa el primer lugar para l</w:t>
      </w:r>
      <w:r w:rsidR="00475391">
        <w:rPr>
          <w:rStyle w:val="eop"/>
          <w:rFonts w:ascii="Calibri" w:hAnsi="Calibri" w:cs="Calibri"/>
          <w:color w:val="000000" w:themeColor="text1"/>
          <w:lang w:val="es-ES"/>
        </w:rPr>
        <w:t>as personas consumidoras</w:t>
      </w:r>
      <w:r>
        <w:rPr>
          <w:rStyle w:val="eop"/>
          <w:rFonts w:ascii="Calibri" w:hAnsi="Calibri" w:cs="Calibri"/>
          <w:color w:val="000000" w:themeColor="text1"/>
          <w:lang w:val="es-ES"/>
        </w:rPr>
        <w:t>, con un 56 %, seguido de cerca por el coste, con un 50 %, y la caducidad, con un 37 %.</w:t>
      </w:r>
    </w:p>
    <w:p w14:paraId="2D9F22F9" w14:textId="77777777" w:rsidR="0E46BC16" w:rsidRPr="002241E7" w:rsidRDefault="0E46BC16" w:rsidP="0E46BC16">
      <w:pPr>
        <w:pStyle w:val="paragraph"/>
        <w:spacing w:before="0" w:beforeAutospacing="0" w:after="0" w:afterAutospacing="0"/>
        <w:jc w:val="both"/>
        <w:rPr>
          <w:rStyle w:val="eop"/>
          <w:rFonts w:ascii="Calibri" w:hAnsi="Calibri" w:cs="Calibri"/>
          <w:color w:val="000000" w:themeColor="text1"/>
          <w:lang w:val="es-ES"/>
        </w:rPr>
      </w:pPr>
    </w:p>
    <w:p w14:paraId="4D0D7A08" w14:textId="6A2F4A3F" w:rsidR="49CD1C98" w:rsidRPr="002241E7" w:rsidRDefault="00EC2B9B" w:rsidP="00A80FE6">
      <w:pPr>
        <w:pStyle w:val="paragraph"/>
        <w:spacing w:before="0" w:beforeAutospacing="0" w:after="0" w:afterAutospacing="0"/>
        <w:jc w:val="both"/>
        <w:rPr>
          <w:lang w:val="es-ES"/>
        </w:rPr>
      </w:pPr>
      <w:r>
        <w:rPr>
          <w:rStyle w:val="eop"/>
          <w:rFonts w:ascii="Calibri" w:hAnsi="Calibri" w:cs="Calibri"/>
          <w:color w:val="000000" w:themeColor="text1"/>
          <w:lang w:val="es-ES"/>
        </w:rPr>
        <w:t>Pero las decisiones sobre alimentos evolucionan: el 40 % de l</w:t>
      </w:r>
      <w:r w:rsidR="00F44AE5">
        <w:rPr>
          <w:rStyle w:val="eop"/>
          <w:rFonts w:ascii="Calibri" w:hAnsi="Calibri" w:cs="Calibri"/>
          <w:color w:val="000000" w:themeColor="text1"/>
          <w:lang w:val="es-ES"/>
        </w:rPr>
        <w:t>as personas</w:t>
      </w:r>
      <w:r>
        <w:rPr>
          <w:rStyle w:val="eop"/>
          <w:rFonts w:ascii="Calibri" w:hAnsi="Calibri" w:cs="Calibri"/>
          <w:color w:val="000000" w:themeColor="text1"/>
          <w:lang w:val="es-ES"/>
        </w:rPr>
        <w:t xml:space="preserve"> participantes en la campaña tienen en cuenta actualmente la seguridad alimentaria a la hora de hacer la compra, frente al 35 % del público general. Y ese no es el único cambio. Cada vez más </w:t>
      </w:r>
      <w:r w:rsidR="00F44AE5">
        <w:rPr>
          <w:rStyle w:val="eop"/>
          <w:rFonts w:ascii="Calibri" w:hAnsi="Calibri" w:cs="Calibri"/>
          <w:color w:val="000000" w:themeColor="text1"/>
          <w:lang w:val="es-ES"/>
        </w:rPr>
        <w:t xml:space="preserve">personas </w:t>
      </w:r>
      <w:r>
        <w:rPr>
          <w:rStyle w:val="eop"/>
          <w:rFonts w:ascii="Calibri" w:hAnsi="Calibri" w:cs="Calibri"/>
          <w:color w:val="000000" w:themeColor="text1"/>
          <w:lang w:val="es-ES"/>
        </w:rPr>
        <w:t>europe</w:t>
      </w:r>
      <w:r w:rsidR="00F44AE5">
        <w:rPr>
          <w:rStyle w:val="eop"/>
          <w:rFonts w:ascii="Calibri" w:hAnsi="Calibri" w:cs="Calibri"/>
          <w:color w:val="000000" w:themeColor="text1"/>
          <w:lang w:val="es-ES"/>
        </w:rPr>
        <w:t>a</w:t>
      </w:r>
      <w:r>
        <w:rPr>
          <w:rStyle w:val="eop"/>
          <w:rFonts w:ascii="Calibri" w:hAnsi="Calibri" w:cs="Calibri"/>
          <w:color w:val="000000" w:themeColor="text1"/>
          <w:lang w:val="es-ES"/>
        </w:rPr>
        <w:t>s optan por alimentos mínimamente procesados y casi uno de cada cinco los priorizan, lo que supone un aumento del 3 % con respecto al año pasado. Mientras tanto, el coste va perdiendo terreno, con una reducción del 4 %, a medida que otras preocupaciones cobran protagonismo.</w:t>
      </w:r>
    </w:p>
    <w:p w14:paraId="190F5B00" w14:textId="77777777" w:rsidR="0E46BC16" w:rsidRPr="002241E7" w:rsidRDefault="0E46BC16" w:rsidP="0E46BC16">
      <w:pPr>
        <w:pStyle w:val="paragraph"/>
        <w:spacing w:before="0" w:beforeAutospacing="0" w:after="0" w:afterAutospacing="0"/>
        <w:jc w:val="both"/>
        <w:rPr>
          <w:rStyle w:val="eop"/>
          <w:rFonts w:ascii="Calibri" w:hAnsi="Calibri" w:cs="Calibri"/>
          <w:color w:val="000000" w:themeColor="text1"/>
          <w:lang w:val="es-ES"/>
        </w:rPr>
      </w:pPr>
    </w:p>
    <w:p w14:paraId="7D22DD85" w14:textId="5305B6A4" w:rsidR="49CD1C98" w:rsidRPr="002241E7" w:rsidRDefault="00EC2B9B" w:rsidP="00A80FE6">
      <w:pPr>
        <w:pStyle w:val="paragraph"/>
        <w:spacing w:before="0" w:beforeAutospacing="0" w:after="0" w:afterAutospacing="0"/>
        <w:jc w:val="both"/>
        <w:rPr>
          <w:lang w:val="es-ES"/>
        </w:rPr>
      </w:pPr>
      <w:r>
        <w:rPr>
          <w:rStyle w:val="eop"/>
          <w:rFonts w:ascii="Calibri" w:hAnsi="Calibri" w:cs="Calibri"/>
          <w:color w:val="000000" w:themeColor="text1"/>
          <w:lang w:val="es-ES"/>
        </w:rPr>
        <w:t xml:space="preserve">Aunque las prioridades de </w:t>
      </w:r>
      <w:r w:rsidR="00475391">
        <w:rPr>
          <w:rStyle w:val="eop"/>
          <w:rFonts w:ascii="Calibri" w:hAnsi="Calibri" w:cs="Calibri"/>
          <w:color w:val="000000" w:themeColor="text1"/>
          <w:lang w:val="es-ES"/>
        </w:rPr>
        <w:t>las personas consumidoras</w:t>
      </w:r>
      <w:r>
        <w:rPr>
          <w:rStyle w:val="eop"/>
          <w:rFonts w:ascii="Calibri" w:hAnsi="Calibri" w:cs="Calibri"/>
          <w:color w:val="000000" w:themeColor="text1"/>
          <w:lang w:val="es-ES"/>
        </w:rPr>
        <w:t xml:space="preserve"> cambian, hay algo que permanece constante: la seguridad alimentaria. Independientemente de lo que influya en sus decisiones, l</w:t>
      </w:r>
      <w:r w:rsidR="00F44AE5">
        <w:rPr>
          <w:rStyle w:val="eop"/>
          <w:rFonts w:ascii="Calibri" w:hAnsi="Calibri" w:cs="Calibri"/>
          <w:color w:val="000000" w:themeColor="text1"/>
          <w:lang w:val="es-ES"/>
        </w:rPr>
        <w:t>as personas</w:t>
      </w:r>
      <w:r>
        <w:rPr>
          <w:rStyle w:val="eop"/>
          <w:rFonts w:ascii="Calibri" w:hAnsi="Calibri" w:cs="Calibri"/>
          <w:color w:val="000000" w:themeColor="text1"/>
          <w:lang w:val="es-ES"/>
        </w:rPr>
        <w:t xml:space="preserve"> europe</w:t>
      </w:r>
      <w:r w:rsidR="00F44AE5">
        <w:rPr>
          <w:rStyle w:val="eop"/>
          <w:rFonts w:ascii="Calibri" w:hAnsi="Calibri" w:cs="Calibri"/>
          <w:color w:val="000000" w:themeColor="text1"/>
          <w:lang w:val="es-ES"/>
        </w:rPr>
        <w:t>a</w:t>
      </w:r>
      <w:r>
        <w:rPr>
          <w:rStyle w:val="eop"/>
          <w:rFonts w:ascii="Calibri" w:hAnsi="Calibri" w:cs="Calibri"/>
          <w:color w:val="000000" w:themeColor="text1"/>
          <w:lang w:val="es-ES"/>
        </w:rPr>
        <w:t>s pueden confiar en que los alimentos que llegan a sus mesas cumplen las normas de seguridad más exigentes del mundo. Gracias al riguroso sistema de seguridad alimentaria de la UE, tod</w:t>
      </w:r>
      <w:r w:rsidR="00F44AE5">
        <w:rPr>
          <w:rStyle w:val="eop"/>
          <w:rFonts w:ascii="Calibri" w:hAnsi="Calibri" w:cs="Calibri"/>
          <w:color w:val="000000" w:themeColor="text1"/>
          <w:lang w:val="es-ES"/>
        </w:rPr>
        <w:t>a la</w:t>
      </w:r>
      <w:r>
        <w:rPr>
          <w:rStyle w:val="eop"/>
          <w:rFonts w:ascii="Calibri" w:hAnsi="Calibri" w:cs="Calibri"/>
          <w:color w:val="000000" w:themeColor="text1"/>
          <w:lang w:val="es-ES"/>
        </w:rPr>
        <w:t xml:space="preserve"> ciudadan</w:t>
      </w:r>
      <w:r w:rsidR="00F44AE5">
        <w:rPr>
          <w:rStyle w:val="eop"/>
          <w:rFonts w:ascii="Calibri" w:hAnsi="Calibri" w:cs="Calibri"/>
          <w:color w:val="000000" w:themeColor="text1"/>
          <w:lang w:val="es-ES"/>
        </w:rPr>
        <w:t>ía</w:t>
      </w:r>
      <w:r>
        <w:rPr>
          <w:rStyle w:val="eop"/>
          <w:rFonts w:ascii="Calibri" w:hAnsi="Calibri" w:cs="Calibri"/>
          <w:color w:val="000000" w:themeColor="text1"/>
          <w:lang w:val="es-ES"/>
        </w:rPr>
        <w:t xml:space="preserve"> tien</w:t>
      </w:r>
      <w:r w:rsidR="00F44AE5">
        <w:rPr>
          <w:rStyle w:val="eop"/>
          <w:rFonts w:ascii="Calibri" w:hAnsi="Calibri" w:cs="Calibri"/>
          <w:color w:val="000000" w:themeColor="text1"/>
          <w:lang w:val="es-ES"/>
        </w:rPr>
        <w:t>e</w:t>
      </w:r>
      <w:r>
        <w:rPr>
          <w:rStyle w:val="eop"/>
          <w:rFonts w:ascii="Calibri" w:hAnsi="Calibri" w:cs="Calibri"/>
          <w:color w:val="000000" w:themeColor="text1"/>
          <w:lang w:val="es-ES"/>
        </w:rPr>
        <w:t xml:space="preserve"> derecho a saber de dónde proceden sus alimentos, cómo se producen y qué contienen, lo que garantiza la transparencia y la confianza en cada comida.</w:t>
      </w:r>
    </w:p>
    <w:p w14:paraId="3D99454E" w14:textId="77777777" w:rsidR="0E46BC16" w:rsidRPr="002241E7" w:rsidRDefault="0E46BC16" w:rsidP="0E46BC16">
      <w:pPr>
        <w:pStyle w:val="paragraph"/>
        <w:spacing w:before="0" w:beforeAutospacing="0" w:after="0" w:afterAutospacing="0"/>
        <w:jc w:val="both"/>
        <w:rPr>
          <w:rStyle w:val="eop"/>
          <w:rFonts w:ascii="Calibri" w:hAnsi="Calibri" w:cs="Calibri"/>
          <w:color w:val="000000" w:themeColor="text1"/>
          <w:lang w:val="es-ES"/>
        </w:rPr>
      </w:pPr>
    </w:p>
    <w:p w14:paraId="3C04A345" w14:textId="77777777" w:rsidR="000D09ED" w:rsidRPr="002241E7"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lang w:val="es-ES"/>
        </w:rPr>
      </w:pPr>
    </w:p>
    <w:p w14:paraId="18F8510E" w14:textId="77777777" w:rsidR="008C1913" w:rsidRPr="002241E7" w:rsidRDefault="00EC2B9B">
      <w:pPr>
        <w:pStyle w:val="paragraph"/>
        <w:spacing w:before="0" w:beforeAutospacing="0" w:after="0" w:afterAutospacing="0"/>
        <w:jc w:val="both"/>
        <w:rPr>
          <w:rStyle w:val="normaltextrun"/>
          <w:rFonts w:ascii="Calibri" w:hAnsi="Calibri" w:cs="Calibri"/>
          <w:b/>
          <w:bCs/>
          <w:color w:val="1A4489"/>
          <w:sz w:val="36"/>
          <w:szCs w:val="36"/>
          <w:lang w:val="es-ES"/>
        </w:rPr>
      </w:pPr>
      <w:r>
        <w:rPr>
          <w:rStyle w:val="normaltextrun"/>
          <w:rFonts w:ascii="Calibri" w:hAnsi="Calibri" w:cs="Calibri"/>
          <w:b/>
          <w:bCs/>
          <w:color w:val="1A4489"/>
          <w:sz w:val="36"/>
          <w:szCs w:val="36"/>
          <w:lang w:val="es-ES"/>
        </w:rPr>
        <w:lastRenderedPageBreak/>
        <w:t>La campaña «Safe2Eat»</w:t>
      </w:r>
    </w:p>
    <w:p w14:paraId="094A4867" w14:textId="77777777" w:rsidR="000D09ED" w:rsidRPr="002241E7" w:rsidRDefault="000D09ED" w:rsidP="008C1913">
      <w:pPr>
        <w:pStyle w:val="paragraph"/>
        <w:spacing w:before="0" w:beforeAutospacing="0" w:after="0" w:afterAutospacing="0"/>
        <w:jc w:val="both"/>
        <w:textAlignment w:val="baseline"/>
        <w:rPr>
          <w:rFonts w:ascii="Calibri" w:hAnsi="Calibri" w:cs="Calibri"/>
          <w:color w:val="1A4489"/>
          <w:sz w:val="20"/>
          <w:szCs w:val="20"/>
          <w:lang w:val="es-ES"/>
        </w:rPr>
      </w:pPr>
    </w:p>
    <w:p w14:paraId="01C84162" w14:textId="77777777" w:rsidR="008C1913" w:rsidRPr="002241E7" w:rsidRDefault="00EC2B9B" w:rsidP="09DF605F">
      <w:pPr>
        <w:pStyle w:val="paragraph"/>
        <w:spacing w:before="0" w:beforeAutospacing="0" w:after="0" w:afterAutospacing="0"/>
        <w:jc w:val="both"/>
        <w:textAlignment w:val="baseline"/>
        <w:rPr>
          <w:rStyle w:val="eop"/>
          <w:rFonts w:ascii="Calibri" w:hAnsi="Calibri" w:cs="Calibri"/>
          <w:color w:val="000000"/>
          <w:lang w:val="es-ES"/>
        </w:rPr>
      </w:pPr>
      <w:r>
        <w:rPr>
          <w:rStyle w:val="normaltextrun"/>
          <w:rFonts w:ascii="Calibri" w:hAnsi="Calibri" w:cs="Calibri"/>
          <w:color w:val="000000" w:themeColor="text1"/>
          <w:lang w:val="es-ES"/>
        </w:rPr>
        <w:t>La campaña «Safe2Eat», anteriormente conocida como #EUChooseSafeFood y que ya está en su quinto año, tiene el objetivo de aprovechar los esfuerzos de concienciación de ediciones anteriores para fomentar el pensamiento crítico y promover el compromiso de los europeos con la seguridad alimentaria.</w:t>
      </w:r>
      <w:r>
        <w:rPr>
          <w:rStyle w:val="eop"/>
          <w:rFonts w:ascii="Calibri" w:hAnsi="Calibri" w:cs="Calibri"/>
          <w:color w:val="000000" w:themeColor="text1"/>
          <w:lang w:val="es-ES"/>
        </w:rPr>
        <w:t> </w:t>
      </w:r>
    </w:p>
    <w:p w14:paraId="7A80F549"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p>
    <w:p w14:paraId="404EE390" w14:textId="77777777" w:rsidR="008C1913" w:rsidRPr="002241E7" w:rsidRDefault="00EC2B9B" w:rsidP="008C1913">
      <w:pPr>
        <w:pStyle w:val="paragraph"/>
        <w:spacing w:before="0" w:beforeAutospacing="0" w:after="0" w:afterAutospacing="0"/>
        <w:jc w:val="both"/>
        <w:textAlignment w:val="baseline"/>
        <w:rPr>
          <w:rStyle w:val="eop"/>
          <w:rFonts w:ascii="Calibri" w:hAnsi="Calibri" w:cs="Calibri"/>
          <w:color w:val="000000"/>
          <w:lang w:val="es-ES"/>
        </w:rPr>
      </w:pPr>
      <w:r>
        <w:rPr>
          <w:rStyle w:val="normaltextrun"/>
          <w:rFonts w:ascii="Calibri" w:hAnsi="Calibri" w:cs="Calibri"/>
          <w:color w:val="000000"/>
          <w:lang w:val="es-ES"/>
        </w:rPr>
        <w:t>La campaña se centra en tres ámbitos fundamentales:</w:t>
      </w:r>
      <w:r>
        <w:rPr>
          <w:rStyle w:val="eop"/>
          <w:rFonts w:ascii="Calibri" w:hAnsi="Calibri" w:cs="Calibri"/>
          <w:color w:val="000000"/>
          <w:lang w:val="es-ES"/>
        </w:rPr>
        <w:t> </w:t>
      </w:r>
    </w:p>
    <w:p w14:paraId="2D7CE767"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p>
    <w:p w14:paraId="2BC616F6" w14:textId="49161A79" w:rsidR="008C1913" w:rsidRPr="002241E7" w:rsidRDefault="00EC2B9B" w:rsidP="008C1913">
      <w:pPr>
        <w:pStyle w:val="paragraph"/>
        <w:numPr>
          <w:ilvl w:val="0"/>
          <w:numId w:val="11"/>
        </w:numPr>
        <w:spacing w:before="0" w:beforeAutospacing="0" w:after="0" w:afterAutospacing="0"/>
        <w:jc w:val="both"/>
        <w:textAlignment w:val="baseline"/>
        <w:rPr>
          <w:rFonts w:ascii="Calibri" w:hAnsi="Calibri" w:cs="Calibri"/>
          <w:lang w:val="es-ES"/>
        </w:rPr>
      </w:pPr>
      <w:r>
        <w:rPr>
          <w:rStyle w:val="normaltextrun"/>
          <w:rFonts w:ascii="Calibri" w:hAnsi="Calibri" w:cs="Calibri"/>
          <w:b/>
          <w:bCs/>
          <w:color w:val="000000" w:themeColor="text1"/>
          <w:lang w:val="es-ES"/>
        </w:rPr>
        <w:t>Prácticas alimentarias seguras</w:t>
      </w:r>
      <w:r>
        <w:rPr>
          <w:rStyle w:val="normaltextrun"/>
          <w:rFonts w:ascii="Calibri" w:hAnsi="Calibri" w:cs="Calibri"/>
          <w:color w:val="000000" w:themeColor="text1"/>
          <w:lang w:val="es-ES"/>
        </w:rPr>
        <w:t xml:space="preserve">: las normas europeas, internacionales y nacionales, respaldadas por datos científicos, garantizan la seguridad alimentaria de la granja a la mesa. Se ofrecen consejos para leer las etiquetas y manipular, almacenar y cocinar los alimentos de forma segura, respaldados por los últimos conocimientos científicos, con el fin de capacitar a </w:t>
      </w:r>
      <w:r w:rsidR="00475391">
        <w:rPr>
          <w:rStyle w:val="normaltextrun"/>
          <w:rFonts w:ascii="Calibri" w:hAnsi="Calibri" w:cs="Calibri"/>
          <w:color w:val="000000" w:themeColor="text1"/>
          <w:lang w:val="es-ES"/>
        </w:rPr>
        <w:t>las personas consumidoras</w:t>
      </w:r>
      <w:r>
        <w:rPr>
          <w:rStyle w:val="normaltextrun"/>
          <w:rFonts w:ascii="Calibri" w:hAnsi="Calibri" w:cs="Calibri"/>
          <w:color w:val="000000" w:themeColor="text1"/>
          <w:lang w:val="es-ES"/>
        </w:rPr>
        <w:t xml:space="preserve"> para que tomen decisiones fundamentadas.</w:t>
      </w:r>
      <w:r>
        <w:rPr>
          <w:rStyle w:val="eop"/>
          <w:rFonts w:ascii="Calibri" w:hAnsi="Calibri" w:cs="Calibri"/>
          <w:color w:val="000000" w:themeColor="text1"/>
          <w:lang w:val="es-ES"/>
        </w:rPr>
        <w:t> </w:t>
      </w:r>
    </w:p>
    <w:p w14:paraId="696BAC36" w14:textId="1597A3FC" w:rsidR="008C1913" w:rsidRPr="002241E7" w:rsidRDefault="00EC2B9B" w:rsidP="008C1913">
      <w:pPr>
        <w:pStyle w:val="paragraph"/>
        <w:numPr>
          <w:ilvl w:val="0"/>
          <w:numId w:val="11"/>
        </w:numPr>
        <w:spacing w:before="0" w:beforeAutospacing="0" w:after="0" w:afterAutospacing="0"/>
        <w:jc w:val="both"/>
        <w:textAlignment w:val="baseline"/>
        <w:rPr>
          <w:rFonts w:ascii="Calibri" w:hAnsi="Calibri" w:cs="Calibri"/>
          <w:sz w:val="22"/>
          <w:szCs w:val="22"/>
          <w:lang w:val="es-ES"/>
        </w:rPr>
      </w:pPr>
      <w:r w:rsidRPr="00E8477F">
        <w:rPr>
          <w:rStyle w:val="normaltextrun"/>
          <w:rFonts w:ascii="Calibri" w:hAnsi="Calibri" w:cs="Calibri"/>
          <w:b/>
          <w:bCs/>
          <w:color w:val="000000" w:themeColor="text1"/>
          <w:lang w:val="es-ES"/>
        </w:rPr>
        <w:t>Los alimentos y su salud</w:t>
      </w:r>
      <w:r w:rsidRPr="00E8477F">
        <w:rPr>
          <w:rStyle w:val="normaltextrun"/>
          <w:rFonts w:ascii="Calibri" w:hAnsi="Calibri" w:cs="Calibri"/>
          <w:color w:val="000000" w:themeColor="text1"/>
          <w:lang w:val="es-ES"/>
        </w:rPr>
        <w:t>: seguir una dieta variada</w:t>
      </w:r>
      <w:r w:rsidR="00213995">
        <w:rPr>
          <w:rStyle w:val="normaltextrun"/>
          <w:rFonts w:ascii="Calibri" w:hAnsi="Calibri" w:cs="Calibri"/>
          <w:color w:val="000000" w:themeColor="text1"/>
          <w:lang w:val="es-ES"/>
        </w:rPr>
        <w:t xml:space="preserve"> y </w:t>
      </w:r>
      <w:r w:rsidR="00E8477F" w:rsidRPr="00E8477F">
        <w:rPr>
          <w:rStyle w:val="normaltextrun"/>
          <w:rFonts w:ascii="Calibri" w:hAnsi="Calibri" w:cs="Calibri"/>
          <w:color w:val="000000" w:themeColor="text1"/>
          <w:lang w:val="es-ES"/>
        </w:rPr>
        <w:t>alineada con las recomendaciones dietéticas más actuales</w:t>
      </w:r>
      <w:r w:rsidR="00E8477F">
        <w:rPr>
          <w:rStyle w:val="normaltextrun"/>
          <w:rFonts w:ascii="Calibri" w:hAnsi="Calibri" w:cs="Calibri"/>
          <w:color w:val="000000" w:themeColor="text1"/>
          <w:lang w:val="es-ES"/>
        </w:rPr>
        <w:t>. L</w:t>
      </w:r>
      <w:r>
        <w:rPr>
          <w:rStyle w:val="normaltextrun"/>
          <w:rFonts w:ascii="Calibri" w:hAnsi="Calibri" w:cs="Calibri"/>
          <w:color w:val="000000" w:themeColor="text1"/>
          <w:lang w:val="es-ES"/>
        </w:rPr>
        <w:t>a campaña aporta claridad sobre las necesidades nutricionales, las declaraciones de propiedades saludables y la información científica que las sustenta.</w:t>
      </w:r>
      <w:r>
        <w:rPr>
          <w:rStyle w:val="eop"/>
          <w:rFonts w:ascii="Calibri" w:hAnsi="Calibri" w:cs="Calibri"/>
          <w:color w:val="000000" w:themeColor="text1"/>
          <w:lang w:val="es-ES"/>
        </w:rPr>
        <w:t> </w:t>
      </w:r>
    </w:p>
    <w:p w14:paraId="62BA9371" w14:textId="77777777" w:rsidR="008C1913" w:rsidRPr="002241E7" w:rsidRDefault="00EC2B9B" w:rsidP="008C1913">
      <w:pPr>
        <w:pStyle w:val="paragraph"/>
        <w:numPr>
          <w:ilvl w:val="0"/>
          <w:numId w:val="11"/>
        </w:numPr>
        <w:spacing w:before="0" w:beforeAutospacing="0" w:after="0" w:afterAutospacing="0"/>
        <w:jc w:val="both"/>
        <w:textAlignment w:val="baseline"/>
        <w:rPr>
          <w:rFonts w:ascii="Calibri" w:hAnsi="Calibri" w:cs="Calibri"/>
          <w:lang w:val="es-ES"/>
        </w:rPr>
      </w:pPr>
      <w:r>
        <w:rPr>
          <w:rStyle w:val="normaltextrun"/>
          <w:rFonts w:ascii="Calibri" w:hAnsi="Calibri" w:cs="Calibri"/>
          <w:b/>
          <w:bCs/>
          <w:color w:val="000000"/>
          <w:lang w:val="es-ES"/>
        </w:rPr>
        <w:t>El contenido de sus alimentos</w:t>
      </w:r>
      <w:r>
        <w:rPr>
          <w:rStyle w:val="normaltextrun"/>
          <w:rFonts w:ascii="Calibri" w:hAnsi="Calibri" w:cs="Calibri"/>
          <w:color w:val="000000"/>
          <w:lang w:val="es-ES"/>
        </w:rPr>
        <w:t xml:space="preserve">: la normativa europea garantiza la seguridad de los ingredientes alimentarios, incluidos los aditivos y aromas. </w:t>
      </w:r>
      <w:r>
        <w:rPr>
          <w:rStyle w:val="scxw95617525"/>
          <w:rFonts w:ascii="Calibri" w:hAnsi="Calibri" w:cs="Calibri"/>
          <w:color w:val="000000"/>
          <w:lang w:val="es-ES"/>
        </w:rPr>
        <w:t> </w:t>
      </w:r>
    </w:p>
    <w:p w14:paraId="2AB7519C" w14:textId="77777777" w:rsidR="008C1913" w:rsidRPr="002241E7" w:rsidRDefault="00EC2B9B" w:rsidP="008C1913">
      <w:pPr>
        <w:pStyle w:val="paragraph"/>
        <w:spacing w:before="0" w:beforeAutospacing="0" w:after="0" w:afterAutospacing="0"/>
        <w:ind w:left="720"/>
        <w:jc w:val="both"/>
        <w:textAlignment w:val="baseline"/>
        <w:rPr>
          <w:rStyle w:val="eop"/>
          <w:rFonts w:ascii="Calibri" w:hAnsi="Calibri" w:cs="Calibri"/>
          <w:color w:val="000000"/>
          <w:lang w:val="es-ES"/>
        </w:rPr>
      </w:pPr>
      <w:r>
        <w:rPr>
          <w:rStyle w:val="normaltextrun"/>
          <w:rFonts w:ascii="Calibri" w:hAnsi="Calibri" w:cs="Calibri"/>
          <w:color w:val="000000"/>
          <w:lang w:val="es-ES"/>
        </w:rPr>
        <w:t>La campaña se centra en explicar por qué los aditivos alimentarios y los nuevos alimentos son seguros. Además, destaca cómo deben etiquetarse de forma clara los productos que contienen alérgenos alimentarios. </w:t>
      </w:r>
      <w:r>
        <w:rPr>
          <w:rStyle w:val="eop"/>
          <w:rFonts w:ascii="Calibri" w:hAnsi="Calibri" w:cs="Calibri"/>
          <w:color w:val="000000"/>
          <w:lang w:val="es-ES"/>
        </w:rPr>
        <w:t> </w:t>
      </w:r>
    </w:p>
    <w:p w14:paraId="55C2954D" w14:textId="77777777" w:rsidR="008C1913" w:rsidRPr="002241E7" w:rsidRDefault="008C1913" w:rsidP="008C1913">
      <w:pPr>
        <w:pStyle w:val="paragraph"/>
        <w:spacing w:before="0" w:beforeAutospacing="0" w:after="0" w:afterAutospacing="0"/>
        <w:ind w:left="720"/>
        <w:jc w:val="both"/>
        <w:textAlignment w:val="baseline"/>
        <w:rPr>
          <w:rFonts w:ascii="Calibri" w:hAnsi="Calibri" w:cs="Calibri"/>
          <w:lang w:val="es-ES"/>
        </w:rPr>
      </w:pPr>
    </w:p>
    <w:p w14:paraId="24E69DB1" w14:textId="71E85982" w:rsidR="008C1913" w:rsidRPr="002241E7" w:rsidRDefault="00EC2B9B" w:rsidP="09DF605F">
      <w:pPr>
        <w:pStyle w:val="paragraph"/>
        <w:spacing w:before="0" w:beforeAutospacing="0" w:after="0" w:afterAutospacing="0"/>
        <w:jc w:val="both"/>
        <w:textAlignment w:val="baseline"/>
        <w:rPr>
          <w:rFonts w:ascii="Calibri" w:hAnsi="Calibri" w:cs="Calibri"/>
          <w:sz w:val="18"/>
          <w:szCs w:val="18"/>
          <w:lang w:val="es-ES"/>
        </w:rPr>
      </w:pPr>
      <w:r>
        <w:rPr>
          <w:rStyle w:val="normaltextrun"/>
          <w:rFonts w:ascii="Calibri" w:hAnsi="Calibri" w:cs="Calibri"/>
          <w:color w:val="000000" w:themeColor="text1"/>
          <w:lang w:val="es-ES"/>
        </w:rPr>
        <w:t xml:space="preserve">El objetivo de la campaña «Safe2Eat» es llegar al público general, </w:t>
      </w:r>
      <w:r w:rsidRPr="00475391">
        <w:rPr>
          <w:rStyle w:val="normaltextrun"/>
          <w:rFonts w:ascii="Calibri" w:hAnsi="Calibri" w:cs="Calibri"/>
          <w:color w:val="000000" w:themeColor="text1"/>
          <w:lang w:val="es-ES"/>
        </w:rPr>
        <w:t xml:space="preserve">desde el más </w:t>
      </w:r>
      <w:r w:rsidR="00812454" w:rsidRPr="00475391">
        <w:rPr>
          <w:rStyle w:val="normaltextrun"/>
          <w:rFonts w:ascii="Calibri" w:hAnsi="Calibri" w:cs="Calibri"/>
          <w:color w:val="000000" w:themeColor="text1"/>
          <w:lang w:val="es-ES"/>
        </w:rPr>
        <w:t xml:space="preserve">preocupado </w:t>
      </w:r>
      <w:r w:rsidRPr="00475391">
        <w:rPr>
          <w:rStyle w:val="normaltextrun"/>
          <w:rFonts w:ascii="Calibri" w:hAnsi="Calibri" w:cs="Calibri"/>
          <w:color w:val="000000" w:themeColor="text1"/>
          <w:lang w:val="es-ES"/>
        </w:rPr>
        <w:t xml:space="preserve">y poco </w:t>
      </w:r>
      <w:r w:rsidR="00812454" w:rsidRPr="00475391">
        <w:rPr>
          <w:rStyle w:val="normaltextrun"/>
          <w:rFonts w:ascii="Calibri" w:hAnsi="Calibri" w:cs="Calibri"/>
          <w:color w:val="000000" w:themeColor="text1"/>
          <w:lang w:val="es-ES"/>
        </w:rPr>
        <w:t xml:space="preserve">interesado </w:t>
      </w:r>
      <w:r w:rsidRPr="00475391">
        <w:rPr>
          <w:rStyle w:val="normaltextrun"/>
          <w:rFonts w:ascii="Calibri" w:hAnsi="Calibri" w:cs="Calibri"/>
          <w:color w:val="000000" w:themeColor="text1"/>
          <w:lang w:val="es-ES"/>
        </w:rPr>
        <w:t>por la seguridad alimentaria hasta el más preocupado y menos informado. Por consiguiente, el estilo de comunicación pretende ser informativo y claro, al tiempo que se mantiene un tono tranquilizador, optimista y dinámico</w:t>
      </w:r>
      <w:r>
        <w:rPr>
          <w:rStyle w:val="normaltextrun"/>
          <w:rFonts w:ascii="Calibri" w:hAnsi="Calibri" w:cs="Calibri"/>
          <w:color w:val="000000" w:themeColor="text1"/>
          <w:lang w:val="es-ES"/>
        </w:rPr>
        <w:t>.</w:t>
      </w:r>
      <w:r>
        <w:rPr>
          <w:rStyle w:val="eop"/>
          <w:rFonts w:ascii="Calibri" w:hAnsi="Calibri" w:cs="Calibri"/>
          <w:color w:val="000000" w:themeColor="text1"/>
          <w:lang w:val="es-ES"/>
        </w:rPr>
        <w:t> </w:t>
      </w:r>
    </w:p>
    <w:p w14:paraId="3E3C464C" w14:textId="77777777" w:rsidR="008C1913" w:rsidRPr="002241E7" w:rsidRDefault="00EC2B9B" w:rsidP="008C1913">
      <w:pPr>
        <w:pStyle w:val="paragraph"/>
        <w:spacing w:before="0" w:beforeAutospacing="0" w:after="0" w:afterAutospacing="0"/>
        <w:jc w:val="both"/>
        <w:textAlignment w:val="baseline"/>
        <w:rPr>
          <w:rFonts w:ascii="Calibri" w:hAnsi="Calibri" w:cs="Calibri"/>
          <w:sz w:val="20"/>
          <w:szCs w:val="20"/>
          <w:lang w:val="es-ES"/>
        </w:rPr>
      </w:pPr>
      <w:r>
        <w:rPr>
          <w:rStyle w:val="eop"/>
          <w:rFonts w:ascii="Calibri" w:hAnsi="Calibri" w:cs="Calibri"/>
          <w:color w:val="000000"/>
          <w:lang w:val="es-ES"/>
        </w:rPr>
        <w:t> </w:t>
      </w:r>
    </w:p>
    <w:p w14:paraId="2961B7E3" w14:textId="77777777" w:rsidR="008C1913" w:rsidRPr="002241E7" w:rsidRDefault="00EC2B9B" w:rsidP="008C1913">
      <w:pPr>
        <w:pStyle w:val="paragraph"/>
        <w:spacing w:before="0" w:beforeAutospacing="0" w:after="0" w:afterAutospacing="0"/>
        <w:jc w:val="both"/>
        <w:textAlignment w:val="baseline"/>
        <w:rPr>
          <w:rStyle w:val="eop"/>
          <w:rFonts w:ascii="Calibri" w:hAnsi="Calibri" w:cs="Calibri"/>
          <w:color w:val="1A4489"/>
          <w:sz w:val="36"/>
          <w:szCs w:val="36"/>
          <w:lang w:val="es-ES"/>
        </w:rPr>
      </w:pPr>
      <w:r>
        <w:rPr>
          <w:rStyle w:val="normaltextrun"/>
          <w:rFonts w:ascii="Calibri" w:hAnsi="Calibri" w:cs="Calibri"/>
          <w:b/>
          <w:bCs/>
          <w:color w:val="1A4489"/>
          <w:sz w:val="36"/>
          <w:szCs w:val="36"/>
          <w:lang w:val="es-ES"/>
        </w:rPr>
        <w:t>¿Cómo se puede participar?</w:t>
      </w:r>
      <w:r>
        <w:rPr>
          <w:rStyle w:val="normaltextrun"/>
          <w:rFonts w:ascii="Calibri" w:hAnsi="Calibri" w:cs="Calibri"/>
          <w:color w:val="1A4489"/>
          <w:sz w:val="36"/>
          <w:szCs w:val="36"/>
          <w:lang w:val="es-ES"/>
        </w:rPr>
        <w:t> </w:t>
      </w:r>
      <w:r>
        <w:rPr>
          <w:rStyle w:val="eop"/>
          <w:rFonts w:ascii="Calibri" w:hAnsi="Calibri" w:cs="Calibri"/>
          <w:color w:val="1A4489"/>
          <w:sz w:val="36"/>
          <w:szCs w:val="36"/>
          <w:lang w:val="es-ES"/>
        </w:rPr>
        <w:t> </w:t>
      </w:r>
    </w:p>
    <w:p w14:paraId="24D856FC"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20"/>
          <w:szCs w:val="20"/>
          <w:lang w:val="es-ES"/>
        </w:rPr>
      </w:pPr>
    </w:p>
    <w:p w14:paraId="1A8DBB05" w14:textId="77777777" w:rsidR="008C1913" w:rsidRPr="002241E7" w:rsidRDefault="00EC2B9B" w:rsidP="008C1913">
      <w:pPr>
        <w:pStyle w:val="paragraph"/>
        <w:spacing w:before="0" w:beforeAutospacing="0" w:after="0" w:afterAutospacing="0"/>
        <w:jc w:val="both"/>
        <w:textAlignment w:val="baseline"/>
        <w:rPr>
          <w:rStyle w:val="eop"/>
          <w:rFonts w:ascii="Calibri" w:hAnsi="Calibri" w:cs="Calibri"/>
          <w:lang w:val="es-ES"/>
        </w:rPr>
      </w:pPr>
      <w:r>
        <w:rPr>
          <w:rStyle w:val="normaltextrun"/>
          <w:rFonts w:ascii="Calibri" w:hAnsi="Calibri" w:cs="Calibri"/>
          <w:lang w:val="es-ES"/>
        </w:rPr>
        <w:t>Existen varias formas de sumarse a la campaña y muchos de los recursos están disponibles en varias lenguas de la UE. </w:t>
      </w:r>
      <w:r>
        <w:rPr>
          <w:rStyle w:val="eop"/>
          <w:rFonts w:ascii="Calibri" w:hAnsi="Calibri" w:cs="Calibri"/>
          <w:lang w:val="es-ES"/>
        </w:rPr>
        <w:t> </w:t>
      </w:r>
    </w:p>
    <w:p w14:paraId="4A4C6E81"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p>
    <w:p w14:paraId="713833D6" w14:textId="41AB751A" w:rsidR="008C1913" w:rsidRPr="002241E7" w:rsidRDefault="00EC2B9B" w:rsidP="008C1913">
      <w:pPr>
        <w:pStyle w:val="paragraph"/>
        <w:numPr>
          <w:ilvl w:val="0"/>
          <w:numId w:val="12"/>
        </w:numPr>
        <w:spacing w:before="0" w:beforeAutospacing="0" w:after="0" w:afterAutospacing="0"/>
        <w:jc w:val="both"/>
        <w:textAlignment w:val="baseline"/>
        <w:rPr>
          <w:rFonts w:ascii="Calibri" w:hAnsi="Calibri" w:cs="Calibri"/>
          <w:lang w:val="es-ES"/>
        </w:rPr>
      </w:pPr>
      <w:r>
        <w:rPr>
          <w:rStyle w:val="normaltextrun"/>
          <w:rFonts w:ascii="Calibri" w:hAnsi="Calibri" w:cs="Calibri"/>
          <w:color w:val="000000"/>
          <w:lang w:val="es-ES"/>
        </w:rPr>
        <w:t>Comparta nuestro material gratuito del conjunto de herramientas con su red y ayude a l</w:t>
      </w:r>
      <w:r w:rsidR="00F44AE5">
        <w:rPr>
          <w:rStyle w:val="normaltextrun"/>
          <w:rFonts w:ascii="Calibri" w:hAnsi="Calibri" w:cs="Calibri"/>
          <w:color w:val="000000"/>
          <w:lang w:val="es-ES"/>
        </w:rPr>
        <w:t xml:space="preserve">a ciudadanía </w:t>
      </w:r>
      <w:r>
        <w:rPr>
          <w:rStyle w:val="normaltextrun"/>
          <w:rFonts w:ascii="Calibri" w:hAnsi="Calibri" w:cs="Calibri"/>
          <w:color w:val="000000"/>
          <w:lang w:val="es-ES"/>
        </w:rPr>
        <w:t>europe</w:t>
      </w:r>
      <w:r w:rsidR="00F44AE5">
        <w:rPr>
          <w:rStyle w:val="normaltextrun"/>
          <w:rFonts w:ascii="Calibri" w:hAnsi="Calibri" w:cs="Calibri"/>
          <w:color w:val="000000"/>
          <w:lang w:val="es-ES"/>
        </w:rPr>
        <w:t>a</w:t>
      </w:r>
      <w:r>
        <w:rPr>
          <w:rStyle w:val="normaltextrun"/>
          <w:rFonts w:ascii="Calibri" w:hAnsi="Calibri" w:cs="Calibri"/>
          <w:color w:val="000000"/>
          <w:lang w:val="es-ES"/>
        </w:rPr>
        <w:t xml:space="preserve"> a saber que, elijan los alimentos que elijan, pueden confiar en que consumirlos es seguro.</w:t>
      </w:r>
      <w:r>
        <w:rPr>
          <w:rStyle w:val="eop"/>
          <w:rFonts w:ascii="Calibri" w:hAnsi="Calibri" w:cs="Calibri"/>
          <w:color w:val="000000"/>
          <w:lang w:val="es-ES"/>
        </w:rPr>
        <w:t> </w:t>
      </w:r>
    </w:p>
    <w:p w14:paraId="142984F1" w14:textId="296B70FB" w:rsidR="008C1913" w:rsidRPr="002241E7" w:rsidRDefault="00EC2B9B" w:rsidP="0AB0F026">
      <w:pPr>
        <w:pStyle w:val="paragraph"/>
        <w:numPr>
          <w:ilvl w:val="0"/>
          <w:numId w:val="12"/>
        </w:numPr>
        <w:spacing w:before="0" w:beforeAutospacing="0" w:after="0" w:afterAutospacing="0"/>
        <w:jc w:val="both"/>
        <w:textAlignment w:val="baseline"/>
        <w:rPr>
          <w:rFonts w:ascii="Calibri" w:hAnsi="Calibri" w:cs="Calibri"/>
          <w:lang w:val="es-ES"/>
        </w:rPr>
      </w:pPr>
      <w:r>
        <w:rPr>
          <w:rStyle w:val="normaltextrun"/>
          <w:rFonts w:ascii="Calibri" w:hAnsi="Calibri" w:cs="Calibri"/>
          <w:color w:val="000000" w:themeColor="text1"/>
          <w:lang w:val="es-ES"/>
        </w:rPr>
        <w:t xml:space="preserve">Visite el sitio web de la campaña, donde encontrará consejos prácticos para elegir alimentos e informar a </w:t>
      </w:r>
      <w:r w:rsidR="00475391">
        <w:rPr>
          <w:rStyle w:val="normaltextrun"/>
          <w:rFonts w:ascii="Calibri" w:hAnsi="Calibri" w:cs="Calibri"/>
          <w:color w:val="000000" w:themeColor="text1"/>
          <w:lang w:val="es-ES"/>
        </w:rPr>
        <w:t>las personas consumidoras</w:t>
      </w:r>
      <w:r>
        <w:rPr>
          <w:rStyle w:val="normaltextrun"/>
          <w:rFonts w:ascii="Calibri" w:hAnsi="Calibri" w:cs="Calibri"/>
          <w:color w:val="000000" w:themeColor="text1"/>
          <w:lang w:val="es-ES"/>
        </w:rPr>
        <w:t xml:space="preserve"> sobre la ciencia que vela por la seguridad de nuestros alimentos.</w:t>
      </w:r>
      <w:r>
        <w:rPr>
          <w:rStyle w:val="eop"/>
          <w:rFonts w:ascii="Calibri" w:hAnsi="Calibri" w:cs="Calibri"/>
          <w:color w:val="000000" w:themeColor="text1"/>
          <w:lang w:val="es-ES"/>
        </w:rPr>
        <w:t> </w:t>
      </w:r>
    </w:p>
    <w:p w14:paraId="17DDD01E" w14:textId="77777777" w:rsidR="008C1913" w:rsidRPr="002241E7" w:rsidRDefault="00EC2B9B" w:rsidP="1B40F9EC">
      <w:pPr>
        <w:pStyle w:val="paragraph"/>
        <w:numPr>
          <w:ilvl w:val="0"/>
          <w:numId w:val="12"/>
        </w:numPr>
        <w:spacing w:before="0" w:beforeAutospacing="0" w:after="0" w:afterAutospacing="0"/>
        <w:jc w:val="both"/>
        <w:textAlignment w:val="baseline"/>
        <w:rPr>
          <w:rFonts w:ascii="Calibri" w:hAnsi="Calibri" w:cs="Calibri"/>
          <w:lang w:val="es-ES"/>
        </w:rPr>
      </w:pPr>
      <w:r>
        <w:rPr>
          <w:rStyle w:val="normaltextrun"/>
          <w:rFonts w:ascii="Calibri" w:hAnsi="Calibri" w:cs="Calibri"/>
          <w:color w:val="000000" w:themeColor="text1"/>
          <w:lang w:val="es-ES"/>
        </w:rPr>
        <w:t>Manténgase conectado; siga a la EFSA en LinkedIn, Instagram y YouTube, y comparta las últimas noticias sobre la campaña con su red. </w:t>
      </w:r>
      <w:r>
        <w:rPr>
          <w:rStyle w:val="eop"/>
          <w:rFonts w:ascii="Calibri" w:hAnsi="Calibri" w:cs="Calibri"/>
          <w:color w:val="000000" w:themeColor="text1"/>
          <w:lang w:val="es-ES"/>
        </w:rPr>
        <w:t> </w:t>
      </w:r>
    </w:p>
    <w:p w14:paraId="3385DC13" w14:textId="77777777" w:rsidR="008C1913" w:rsidRPr="002241E7" w:rsidRDefault="00EC2B9B" w:rsidP="0AB0F026">
      <w:pPr>
        <w:pStyle w:val="paragraph"/>
        <w:numPr>
          <w:ilvl w:val="0"/>
          <w:numId w:val="12"/>
        </w:numPr>
        <w:spacing w:before="0" w:beforeAutospacing="0" w:after="0" w:afterAutospacing="0"/>
        <w:jc w:val="both"/>
        <w:textAlignment w:val="baseline"/>
        <w:rPr>
          <w:rFonts w:ascii="Calibri" w:hAnsi="Calibri" w:cs="Calibri"/>
          <w:lang w:val="es-ES"/>
        </w:rPr>
      </w:pPr>
      <w:r>
        <w:rPr>
          <w:rStyle w:val="normaltextrun"/>
          <w:rFonts w:ascii="Calibri" w:hAnsi="Calibri" w:cs="Calibri"/>
          <w:color w:val="000000" w:themeColor="text1"/>
          <w:lang w:val="es-ES"/>
        </w:rPr>
        <w:t>Difunda nuestros esfuerzos comunes en favor de los alimentos seguros y la ciencia que los respalda utilizando las etiquetas de la campaña #Safe2EatEU para promover y participar en las diversas actividades que se pongan en marcha.</w:t>
      </w:r>
      <w:r>
        <w:rPr>
          <w:rStyle w:val="eop"/>
          <w:rFonts w:ascii="Calibri" w:hAnsi="Calibri" w:cs="Calibri"/>
          <w:color w:val="000000" w:themeColor="text1"/>
          <w:lang w:val="es-ES"/>
        </w:rPr>
        <w:t> </w:t>
      </w:r>
    </w:p>
    <w:p w14:paraId="3158A230" w14:textId="77777777" w:rsidR="008C1913" w:rsidRPr="002241E7" w:rsidRDefault="00EC2B9B" w:rsidP="008C1913">
      <w:pPr>
        <w:pStyle w:val="paragraph"/>
        <w:spacing w:before="0" w:beforeAutospacing="0" w:after="0" w:afterAutospacing="0"/>
        <w:ind w:left="360"/>
        <w:jc w:val="both"/>
        <w:textAlignment w:val="baseline"/>
        <w:rPr>
          <w:rFonts w:ascii="Calibri" w:hAnsi="Calibri" w:cs="Calibri"/>
          <w:sz w:val="18"/>
          <w:szCs w:val="18"/>
          <w:lang w:val="es-ES"/>
        </w:rPr>
      </w:pPr>
      <w:r>
        <w:rPr>
          <w:rStyle w:val="eop"/>
          <w:rFonts w:ascii="Calibri" w:hAnsi="Calibri" w:cs="Calibri"/>
          <w:color w:val="000000"/>
          <w:lang w:val="es-ES"/>
        </w:rPr>
        <w:lastRenderedPageBreak/>
        <w:t> </w:t>
      </w:r>
    </w:p>
    <w:p w14:paraId="3052EABF" w14:textId="77777777" w:rsidR="008C1913" w:rsidRPr="002241E7" w:rsidRDefault="00EC2B9B" w:rsidP="008C1913">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es-ES"/>
        </w:rPr>
      </w:pPr>
      <w:r>
        <w:rPr>
          <w:rStyle w:val="normaltextrun"/>
          <w:rFonts w:ascii="Calibri" w:hAnsi="Calibri" w:cs="Calibri"/>
          <w:b/>
          <w:bCs/>
          <w:color w:val="1A4489"/>
          <w:sz w:val="36"/>
          <w:szCs w:val="36"/>
          <w:lang w:val="es-ES"/>
        </w:rPr>
        <w:t>Conjunto de herramientas de la campaña</w:t>
      </w:r>
      <w:r>
        <w:rPr>
          <w:rStyle w:val="normaltextrun"/>
          <w:rFonts w:ascii="Calibri" w:hAnsi="Calibri" w:cs="Calibri"/>
          <w:color w:val="1A4489"/>
          <w:sz w:val="36"/>
          <w:szCs w:val="36"/>
          <w:lang w:val="es-ES"/>
        </w:rPr>
        <w:t> </w:t>
      </w:r>
      <w:r>
        <w:rPr>
          <w:rStyle w:val="eop"/>
          <w:rFonts w:ascii="Calibri" w:hAnsi="Calibri" w:cs="Calibri"/>
          <w:color w:val="1A4489"/>
          <w:sz w:val="36"/>
          <w:szCs w:val="36"/>
          <w:lang w:val="es-ES"/>
        </w:rPr>
        <w:t> </w:t>
      </w:r>
    </w:p>
    <w:p w14:paraId="78047D05" w14:textId="77777777" w:rsidR="008C1913" w:rsidRPr="002241E7" w:rsidRDefault="008C1913" w:rsidP="008C1913">
      <w:pPr>
        <w:pStyle w:val="paragraph"/>
        <w:shd w:val="clear" w:color="auto" w:fill="FFFFFF"/>
        <w:spacing w:before="0" w:beforeAutospacing="0" w:after="0" w:afterAutospacing="0"/>
        <w:jc w:val="both"/>
        <w:textAlignment w:val="baseline"/>
        <w:rPr>
          <w:rFonts w:ascii="Calibri" w:hAnsi="Calibri" w:cs="Calibri"/>
          <w:sz w:val="20"/>
          <w:szCs w:val="20"/>
          <w:lang w:val="es-ES"/>
        </w:rPr>
      </w:pPr>
    </w:p>
    <w:p w14:paraId="5F3D2EA3" w14:textId="77777777" w:rsidR="008C1913" w:rsidRPr="002241E7" w:rsidRDefault="00EC2B9B" w:rsidP="008C1913">
      <w:pPr>
        <w:pStyle w:val="paragraph"/>
        <w:spacing w:before="0" w:beforeAutospacing="0" w:after="0" w:afterAutospacing="0"/>
        <w:jc w:val="both"/>
        <w:textAlignment w:val="baseline"/>
        <w:rPr>
          <w:rStyle w:val="eop"/>
          <w:rFonts w:ascii="Calibri" w:hAnsi="Calibri" w:cs="Calibri"/>
          <w:color w:val="000000"/>
          <w:lang w:val="es-ES"/>
        </w:rPr>
      </w:pPr>
      <w:r>
        <w:rPr>
          <w:rStyle w:val="normaltextrun"/>
          <w:rFonts w:ascii="Calibri" w:hAnsi="Calibri" w:cs="Calibri"/>
          <w:color w:val="000000"/>
          <w:lang w:val="es-ES"/>
        </w:rPr>
        <w:t>El conjunto de herramientas de la campaña contiene material traducido que las partes interesadas pueden utilizar a escala nacional para facilitar su difusión y maximizar su alcance.</w:t>
      </w:r>
      <w:r>
        <w:rPr>
          <w:rStyle w:val="eop"/>
          <w:rFonts w:ascii="Calibri" w:hAnsi="Calibri" w:cs="Calibri"/>
          <w:color w:val="000000"/>
          <w:lang w:val="es-ES"/>
        </w:rPr>
        <w:t> </w:t>
      </w:r>
    </w:p>
    <w:p w14:paraId="49330CF0"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p>
    <w:p w14:paraId="46843857" w14:textId="64CB0E54" w:rsidR="008C1913" w:rsidRPr="002241E7" w:rsidRDefault="00EC2B9B" w:rsidP="008C1913">
      <w:pPr>
        <w:pStyle w:val="paragraph"/>
        <w:numPr>
          <w:ilvl w:val="0"/>
          <w:numId w:val="13"/>
        </w:numPr>
        <w:spacing w:before="0" w:beforeAutospacing="0" w:after="0" w:afterAutospacing="0"/>
        <w:jc w:val="both"/>
        <w:textAlignment w:val="baseline"/>
        <w:rPr>
          <w:rFonts w:ascii="Calibri" w:hAnsi="Calibri" w:cs="Calibri"/>
          <w:lang w:val="es-ES"/>
        </w:rPr>
      </w:pPr>
      <w:r>
        <w:rPr>
          <w:rStyle w:val="normaltextrun"/>
          <w:rFonts w:ascii="Calibri" w:hAnsi="Calibri" w:cs="Calibri"/>
          <w:b/>
          <w:bCs/>
          <w:color w:val="000000"/>
          <w:lang w:val="es-ES"/>
        </w:rPr>
        <w:t>Antecedentes de la campaña</w:t>
      </w:r>
      <w:r>
        <w:rPr>
          <w:rStyle w:val="normaltextrun"/>
          <w:rFonts w:ascii="Calibri" w:hAnsi="Calibri" w:cs="Calibri"/>
          <w:color w:val="000000"/>
          <w:lang w:val="es-ES"/>
        </w:rPr>
        <w:t>: este documento ofrece una visión general de los objetivos, los temas, el público objetivo y el estilo de comunicación de la campaña. Pueden utilizarse los contenidos de la campaña o crear contenidos relacionados con la misma.</w:t>
      </w:r>
      <w:r>
        <w:rPr>
          <w:rStyle w:val="eop"/>
          <w:rFonts w:ascii="Calibri" w:hAnsi="Calibri" w:cs="Calibri"/>
          <w:color w:val="000000"/>
          <w:lang w:val="es-ES"/>
        </w:rPr>
        <w:t> </w:t>
      </w:r>
    </w:p>
    <w:p w14:paraId="597243AF" w14:textId="0A0CCBAA" w:rsidR="008C1913" w:rsidRPr="002241E7" w:rsidRDefault="00EC2B9B" w:rsidP="1B40F9EC">
      <w:pPr>
        <w:pStyle w:val="paragraph"/>
        <w:numPr>
          <w:ilvl w:val="0"/>
          <w:numId w:val="13"/>
        </w:numPr>
        <w:spacing w:before="0" w:beforeAutospacing="0" w:after="0" w:afterAutospacing="0"/>
        <w:jc w:val="both"/>
        <w:textAlignment w:val="baseline"/>
        <w:rPr>
          <w:rFonts w:ascii="Calibri" w:hAnsi="Calibri" w:cs="Calibri"/>
          <w:lang w:val="es-ES"/>
        </w:rPr>
      </w:pPr>
      <w:r>
        <w:rPr>
          <w:rStyle w:val="normaltextrun"/>
          <w:rFonts w:ascii="Calibri" w:hAnsi="Calibri" w:cs="Calibri"/>
          <w:b/>
          <w:bCs/>
          <w:color w:val="000000" w:themeColor="text1"/>
          <w:lang w:val="es-ES"/>
        </w:rPr>
        <w:t>Elementos visuales:</w:t>
      </w:r>
      <w:r>
        <w:rPr>
          <w:rStyle w:val="normaltextrun"/>
          <w:rFonts w:ascii="Calibri" w:hAnsi="Calibri" w:cs="Calibri"/>
          <w:color w:val="000000" w:themeColor="text1"/>
          <w:lang w:val="es-ES"/>
        </w:rPr>
        <w:t xml:space="preserve"> imágenes de alta calidad que cubren todos los temas abordados en la campaña. Disponibles en las distintas lenguas y preparados para que los use en su sitio web, sus perfiles en redes sociales, boletines o cualquier otra plataforma pertinente.</w:t>
      </w:r>
      <w:r>
        <w:rPr>
          <w:rStyle w:val="eop"/>
          <w:rFonts w:ascii="Calibri" w:hAnsi="Calibri" w:cs="Calibri"/>
          <w:color w:val="000000" w:themeColor="text1"/>
          <w:lang w:val="es-ES"/>
        </w:rPr>
        <w:t> </w:t>
      </w:r>
    </w:p>
    <w:p w14:paraId="0F9B87DD" w14:textId="77777777" w:rsidR="008C1913" w:rsidRPr="002241E7" w:rsidRDefault="00EC2B9B" w:rsidP="4BDB4841">
      <w:pPr>
        <w:pStyle w:val="paragraph"/>
        <w:numPr>
          <w:ilvl w:val="0"/>
          <w:numId w:val="13"/>
        </w:numPr>
        <w:spacing w:before="0" w:beforeAutospacing="0" w:after="0" w:afterAutospacing="0"/>
        <w:jc w:val="both"/>
        <w:textAlignment w:val="baseline"/>
        <w:rPr>
          <w:rStyle w:val="eop"/>
          <w:rFonts w:ascii="Calibri" w:hAnsi="Calibri" w:cs="Calibri"/>
          <w:lang w:val="es-ES"/>
        </w:rPr>
      </w:pPr>
      <w:r>
        <w:rPr>
          <w:rStyle w:val="normaltextrun"/>
          <w:rFonts w:ascii="Calibri" w:hAnsi="Calibri" w:cs="Calibri"/>
          <w:b/>
          <w:bCs/>
          <w:color w:val="000000" w:themeColor="text1"/>
          <w:lang w:val="es-ES"/>
        </w:rPr>
        <w:t>Mensajes listos para usar en las redes sociales (en las lenguas locales)</w:t>
      </w:r>
      <w:r>
        <w:rPr>
          <w:rStyle w:val="normaltextrun"/>
          <w:rFonts w:ascii="Calibri" w:hAnsi="Calibri" w:cs="Calibri"/>
          <w:color w:val="000000" w:themeColor="text1"/>
          <w:lang w:val="es-ES"/>
        </w:rPr>
        <w:t>: puede compartirlos a través de sus canales de redes sociales utilizando la etiqueta oficial de la campaña #Safe2EatEU. Para conseguir más visibilidad, no olvide mencionar a la EFSA cuando promueva sus mensajes.</w:t>
      </w:r>
      <w:r>
        <w:rPr>
          <w:rStyle w:val="eop"/>
          <w:rFonts w:ascii="Calibri" w:hAnsi="Calibri" w:cs="Calibri"/>
          <w:color w:val="000000" w:themeColor="text1"/>
          <w:lang w:val="es-ES"/>
        </w:rPr>
        <w:t> </w:t>
      </w:r>
    </w:p>
    <w:p w14:paraId="5CB7E35A" w14:textId="77777777" w:rsidR="008C1913" w:rsidRPr="002241E7" w:rsidRDefault="008C1913" w:rsidP="008C1913">
      <w:pPr>
        <w:pStyle w:val="paragraph"/>
        <w:spacing w:before="0" w:beforeAutospacing="0" w:after="0" w:afterAutospacing="0"/>
        <w:ind w:left="1440"/>
        <w:jc w:val="both"/>
        <w:textAlignment w:val="baseline"/>
        <w:rPr>
          <w:rFonts w:ascii="Calibri" w:hAnsi="Calibri" w:cs="Calibri"/>
          <w:lang w:val="es-ES"/>
        </w:rPr>
      </w:pPr>
    </w:p>
    <w:p w14:paraId="1599EB22" w14:textId="77777777" w:rsidR="008C1913" w:rsidRPr="002241E7" w:rsidRDefault="00EC2B9B" w:rsidP="008C1913">
      <w:pPr>
        <w:pStyle w:val="paragraph"/>
        <w:spacing w:before="0" w:beforeAutospacing="0" w:after="0" w:afterAutospacing="0"/>
        <w:jc w:val="both"/>
        <w:textAlignment w:val="baseline"/>
        <w:rPr>
          <w:rFonts w:ascii="Calibri" w:hAnsi="Calibri" w:cs="Calibri"/>
          <w:sz w:val="18"/>
          <w:szCs w:val="18"/>
          <w:lang w:val="es-ES"/>
        </w:rPr>
      </w:pPr>
      <w:r>
        <w:rPr>
          <w:rStyle w:val="normaltextrun"/>
          <w:rFonts w:ascii="Calibri" w:hAnsi="Calibri" w:cs="Calibri"/>
          <w:b/>
          <w:bCs/>
          <w:color w:val="1A4489"/>
          <w:sz w:val="36"/>
          <w:szCs w:val="36"/>
          <w:lang w:val="es-ES"/>
        </w:rPr>
        <w:t>Contacto</w:t>
      </w:r>
      <w:r>
        <w:rPr>
          <w:rStyle w:val="normaltextrun"/>
          <w:rFonts w:ascii="Calibri" w:hAnsi="Calibri" w:cs="Calibri"/>
          <w:color w:val="1A4489"/>
          <w:sz w:val="36"/>
          <w:szCs w:val="36"/>
          <w:lang w:val="es-ES"/>
        </w:rPr>
        <w:t> </w:t>
      </w:r>
      <w:r>
        <w:rPr>
          <w:rStyle w:val="eop"/>
          <w:rFonts w:ascii="Calibri" w:hAnsi="Calibri" w:cs="Calibri"/>
          <w:color w:val="1A4489"/>
          <w:sz w:val="36"/>
          <w:szCs w:val="36"/>
          <w:lang w:val="es-ES"/>
        </w:rPr>
        <w:t> </w:t>
      </w:r>
    </w:p>
    <w:p w14:paraId="4CDE3F5B" w14:textId="77777777" w:rsidR="008C1913" w:rsidRPr="002241E7" w:rsidRDefault="008C1913" w:rsidP="008C1913">
      <w:pPr>
        <w:pStyle w:val="paragraph"/>
        <w:spacing w:before="0" w:beforeAutospacing="0" w:after="0" w:afterAutospacing="0"/>
        <w:jc w:val="both"/>
        <w:textAlignment w:val="baseline"/>
        <w:rPr>
          <w:rFonts w:ascii="Calibri" w:hAnsi="Calibri" w:cs="Calibri"/>
          <w:sz w:val="18"/>
          <w:szCs w:val="18"/>
          <w:lang w:val="es-ES"/>
        </w:rPr>
      </w:pPr>
      <w:hyperlink r:id="rId11" w:tgtFrame="_blank" w:history="1">
        <w:r>
          <w:rPr>
            <w:rStyle w:val="normaltextrun"/>
            <w:rFonts w:ascii="Calibri" w:hAnsi="Calibri" w:cs="Calibri"/>
            <w:b/>
            <w:bCs/>
            <w:color w:val="0000FF"/>
            <w:sz w:val="22"/>
            <w:szCs w:val="22"/>
            <w:u w:val="single"/>
            <w:lang w:val="es-ES"/>
          </w:rPr>
          <w:t>Oficina de relaciones con los medios de la EFSA</w:t>
        </w:r>
      </w:hyperlink>
      <w:r w:rsidR="00EC2B9B">
        <w:rPr>
          <w:rStyle w:val="eop"/>
          <w:rFonts w:ascii="Calibri" w:hAnsi="Calibri" w:cs="Calibri"/>
          <w:sz w:val="22"/>
          <w:szCs w:val="22"/>
          <w:lang w:val="es-ES"/>
        </w:rPr>
        <w:t> </w:t>
      </w:r>
    </w:p>
    <w:p w14:paraId="05317542" w14:textId="77777777" w:rsidR="008C1913" w:rsidRPr="002241E7" w:rsidRDefault="00EC2B9B" w:rsidP="008C1913">
      <w:pPr>
        <w:pStyle w:val="paragraph"/>
        <w:spacing w:before="0" w:beforeAutospacing="0" w:after="0" w:afterAutospacing="0"/>
        <w:jc w:val="both"/>
        <w:textAlignment w:val="baseline"/>
        <w:rPr>
          <w:rFonts w:ascii="Calibri" w:hAnsi="Calibri" w:cs="Calibri"/>
          <w:sz w:val="18"/>
          <w:szCs w:val="18"/>
          <w:lang w:val="es-ES"/>
        </w:rPr>
      </w:pPr>
      <w:r>
        <w:rPr>
          <w:rStyle w:val="normaltextrun"/>
          <w:rFonts w:ascii="Calibri" w:hAnsi="Calibri" w:cs="Calibri"/>
          <w:sz w:val="22"/>
          <w:szCs w:val="22"/>
          <w:lang w:val="es-ES"/>
        </w:rPr>
        <w:t xml:space="preserve">Tel.: </w:t>
      </w:r>
      <w:hyperlink r:id="rId12" w:tgtFrame="_blank" w:history="1">
        <w:r w:rsidR="008C1913">
          <w:rPr>
            <w:rStyle w:val="normaltextrun"/>
            <w:rFonts w:ascii="Calibri" w:hAnsi="Calibri" w:cs="Calibri"/>
            <w:color w:val="0000FF"/>
            <w:sz w:val="22"/>
            <w:szCs w:val="22"/>
            <w:u w:val="single"/>
            <w:lang w:val="es-ES"/>
          </w:rPr>
          <w:t>+39 0521 036 149</w:t>
        </w:r>
      </w:hyperlink>
      <w:r>
        <w:rPr>
          <w:rStyle w:val="eop"/>
          <w:rFonts w:ascii="Calibri" w:hAnsi="Calibri" w:cs="Calibri"/>
          <w:sz w:val="22"/>
          <w:szCs w:val="22"/>
          <w:lang w:val="es-ES"/>
        </w:rPr>
        <w:t> </w:t>
      </w:r>
    </w:p>
    <w:p w14:paraId="556C075E" w14:textId="77777777" w:rsidR="008C1913" w:rsidRPr="002241E7" w:rsidRDefault="00EC2B9B" w:rsidP="008C1913">
      <w:pPr>
        <w:pStyle w:val="paragraph"/>
        <w:spacing w:before="0" w:beforeAutospacing="0" w:after="0" w:afterAutospacing="0"/>
        <w:jc w:val="both"/>
        <w:textAlignment w:val="baseline"/>
        <w:rPr>
          <w:rFonts w:ascii="Calibri" w:hAnsi="Calibri" w:cs="Calibri"/>
          <w:sz w:val="18"/>
          <w:szCs w:val="18"/>
          <w:lang w:val="es-ES"/>
        </w:rPr>
      </w:pPr>
      <w:r>
        <w:rPr>
          <w:rStyle w:val="normaltextrun"/>
          <w:rFonts w:ascii="Calibri" w:hAnsi="Calibri" w:cs="Calibri"/>
          <w:sz w:val="22"/>
          <w:szCs w:val="22"/>
          <w:lang w:val="es-ES"/>
        </w:rPr>
        <w:t xml:space="preserve">Correo electrónico: </w:t>
      </w:r>
      <w:hyperlink r:id="rId13" w:tgtFrame="_blank" w:history="1">
        <w:r w:rsidR="008C1913">
          <w:rPr>
            <w:rStyle w:val="normaltextrun"/>
            <w:rFonts w:ascii="Calibri" w:hAnsi="Calibri" w:cs="Calibri"/>
            <w:color w:val="0000FF"/>
            <w:sz w:val="22"/>
            <w:szCs w:val="22"/>
            <w:u w:val="single"/>
            <w:lang w:val="es-ES"/>
          </w:rPr>
          <w:t>press@efsa.europa.eu</w:t>
        </w:r>
      </w:hyperlink>
      <w:r>
        <w:rPr>
          <w:rStyle w:val="eop"/>
          <w:rFonts w:ascii="Calibri" w:hAnsi="Calibri" w:cs="Calibri"/>
          <w:sz w:val="22"/>
          <w:szCs w:val="22"/>
          <w:lang w:val="es-ES"/>
        </w:rPr>
        <w:t> </w:t>
      </w:r>
    </w:p>
    <w:p w14:paraId="2C63894D" w14:textId="77777777" w:rsidR="008C1913" w:rsidRPr="002241E7" w:rsidRDefault="00EC2B9B" w:rsidP="008C1913">
      <w:pPr>
        <w:pStyle w:val="paragraph"/>
        <w:spacing w:before="0" w:beforeAutospacing="0" w:after="0" w:afterAutospacing="0"/>
        <w:jc w:val="both"/>
        <w:textAlignment w:val="baseline"/>
        <w:rPr>
          <w:rFonts w:ascii="Calibri" w:hAnsi="Calibri" w:cs="Calibri"/>
          <w:sz w:val="18"/>
          <w:szCs w:val="18"/>
          <w:lang w:val="es-ES"/>
        </w:rPr>
      </w:pPr>
      <w:r>
        <w:rPr>
          <w:rStyle w:val="eop"/>
          <w:rFonts w:ascii="Calibri" w:hAnsi="Calibri" w:cs="Calibri"/>
          <w:color w:val="D80C42"/>
          <w:sz w:val="20"/>
          <w:szCs w:val="20"/>
          <w:lang w:val="es-ES"/>
        </w:rPr>
        <w:t> </w:t>
      </w:r>
    </w:p>
    <w:p w14:paraId="019714E3" w14:textId="77777777" w:rsidR="008C1913" w:rsidRPr="002241E7" w:rsidRDefault="00EC2B9B" w:rsidP="008C1913">
      <w:pPr>
        <w:pStyle w:val="paragraph"/>
        <w:spacing w:before="0" w:beforeAutospacing="0" w:after="0" w:afterAutospacing="0"/>
        <w:jc w:val="both"/>
        <w:textAlignment w:val="baseline"/>
        <w:rPr>
          <w:rFonts w:ascii="Segoe UI" w:hAnsi="Segoe UI" w:cs="Segoe UI"/>
          <w:sz w:val="18"/>
          <w:szCs w:val="18"/>
          <w:lang w:val="es-ES"/>
        </w:rPr>
      </w:pPr>
      <w:r>
        <w:rPr>
          <w:rStyle w:val="eop"/>
          <w:rFonts w:ascii="Calibri" w:hAnsi="Calibri" w:cs="Calibri"/>
          <w:sz w:val="20"/>
          <w:szCs w:val="20"/>
          <w:lang w:val="es-ES"/>
        </w:rPr>
        <w:t> </w:t>
      </w:r>
    </w:p>
    <w:p w14:paraId="1C08E7A3" w14:textId="77777777" w:rsidR="00795E02" w:rsidRPr="002241E7" w:rsidRDefault="00795E02" w:rsidP="008C1913">
      <w:pPr>
        <w:rPr>
          <w:lang w:val="es-ES"/>
        </w:rPr>
      </w:pPr>
    </w:p>
    <w:sectPr w:rsidR="00795E02" w:rsidRPr="002241E7" w:rsidSect="00FB1EB5">
      <w:headerReference w:type="default" r:id="rId14"/>
      <w:footerReference w:type="default" r:id="rId15"/>
      <w:headerReference w:type="first" r:id="rId16"/>
      <w:footerReference w:type="first" r:id="rId17"/>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CAE6" w14:textId="77777777" w:rsidR="00EC2B9B" w:rsidRDefault="00EC2B9B">
      <w:pPr>
        <w:spacing w:after="0"/>
      </w:pPr>
      <w:r>
        <w:separator/>
      </w:r>
    </w:p>
  </w:endnote>
  <w:endnote w:type="continuationSeparator" w:id="0">
    <w:p w14:paraId="769BA67C" w14:textId="77777777" w:rsidR="00EC2B9B" w:rsidRDefault="00EC2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B6BB6" w14:paraId="11C5E71E" w14:textId="77777777" w:rsidTr="0073258A">
      <w:tc>
        <w:tcPr>
          <w:tcW w:w="8505" w:type="dxa"/>
          <w:shd w:val="clear" w:color="auto" w:fill="auto"/>
        </w:tcPr>
        <w:p w14:paraId="7F3E3D62" w14:textId="77777777" w:rsidR="00246A65" w:rsidRDefault="00246A65" w:rsidP="00246A65">
          <w:pPr>
            <w:pStyle w:val="Piedepgina"/>
          </w:pPr>
        </w:p>
      </w:tc>
    </w:tr>
  </w:tbl>
  <w:p w14:paraId="70402FF4" w14:textId="77777777" w:rsidR="00246A65" w:rsidRPr="005B3B3E" w:rsidRDefault="00246A65" w:rsidP="00246A65">
    <w:pPr>
      <w:pStyle w:val="Piedepgina"/>
    </w:pPr>
  </w:p>
  <w:p w14:paraId="697C9D79" w14:textId="77777777" w:rsidR="00246A65" w:rsidRPr="00EA7E45" w:rsidRDefault="00246A65" w:rsidP="00246A65">
    <w:pPr>
      <w:pStyle w:val="Piedepgina"/>
    </w:pPr>
  </w:p>
  <w:p w14:paraId="6CB21248" w14:textId="77777777" w:rsidR="00246A65" w:rsidRDefault="00246A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B6BB6" w14:paraId="12F00AB6" w14:textId="77777777" w:rsidTr="00246A65">
      <w:tc>
        <w:tcPr>
          <w:tcW w:w="8505" w:type="dxa"/>
          <w:shd w:val="clear" w:color="auto" w:fill="auto"/>
        </w:tcPr>
        <w:p w14:paraId="36D7E16E" w14:textId="77777777" w:rsidR="00246A65" w:rsidRDefault="00246A65" w:rsidP="00EA7E45">
          <w:pPr>
            <w:pStyle w:val="Piedepgina"/>
          </w:pPr>
        </w:p>
      </w:tc>
    </w:tr>
  </w:tbl>
  <w:p w14:paraId="1DD7A21D" w14:textId="77777777" w:rsidR="00EA7E45" w:rsidRPr="005B3B3E" w:rsidRDefault="00EA7E45" w:rsidP="00EA7E45">
    <w:pPr>
      <w:pStyle w:val="Piedepgina"/>
    </w:pPr>
  </w:p>
  <w:p w14:paraId="7472FCA3" w14:textId="77777777" w:rsidR="00EA7E45" w:rsidRPr="00EA7E45" w:rsidRDefault="00EA7E45" w:rsidP="00EA7E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3D3A" w14:textId="77777777" w:rsidR="00EC2B9B" w:rsidRDefault="00EC2B9B">
      <w:pPr>
        <w:spacing w:after="0"/>
      </w:pPr>
      <w:r>
        <w:separator/>
      </w:r>
    </w:p>
  </w:footnote>
  <w:footnote w:type="continuationSeparator" w:id="0">
    <w:p w14:paraId="4A9C76C8" w14:textId="77777777" w:rsidR="00EC2B9B" w:rsidRDefault="00EC2B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CF51" w14:textId="77777777" w:rsidR="00EA7E45" w:rsidRDefault="00EC2B9B" w:rsidP="00EA7E45">
    <w:pPr>
      <w:pStyle w:val="Encabezado"/>
      <w:jc w:val="right"/>
    </w:pPr>
    <w:r>
      <w:rPr>
        <w:noProof/>
        <w:lang w:val="es-ES"/>
      </w:rPr>
      <mc:AlternateContent>
        <mc:Choice Requires="wps">
          <w:drawing>
            <wp:anchor distT="0" distB="0" distL="114300" distR="114300" simplePos="0" relativeHeight="251666432" behindDoc="0" locked="0" layoutInCell="1" allowOverlap="1" wp14:anchorId="7C9DAEF7" wp14:editId="484E3D74">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5" o:spid="_x0000_s2049" style="width:71pt;height:6.05pt;margin-top:-2.85pt;margin-left:0.15pt;mso-width-percent:0;mso-width-relative:margin;mso-wrap-distance-bottom:0;mso-wrap-distance-left:9pt;mso-wrap-distance-right:9pt;mso-wrap-distance-top:0;mso-wrap-style:square;position:absolute;visibility:visible;v-text-anchor:middle;z-index:251669504" fillcolor="white" stroked="f" strokeweight="1pt"/>
          </w:pict>
        </mc:Fallback>
      </mc:AlternateContent>
    </w:r>
    <w:r>
      <w:rPr>
        <w:noProof/>
        <w:lang w:val="es-ES"/>
      </w:rPr>
      <w:drawing>
        <wp:anchor distT="0" distB="0" distL="114300" distR="114300" simplePos="0" relativeHeight="251665408" behindDoc="0" locked="0" layoutInCell="1" allowOverlap="1" wp14:anchorId="7C987190" wp14:editId="7F49AD20">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es-ES"/>
      </w:rPr>
      <w:t xml:space="preserve"> </w:t>
    </w:r>
    <w:r>
      <w:rPr>
        <w:noProof/>
        <w:lang w:val="es-ES"/>
      </w:rPr>
      <mc:AlternateContent>
        <mc:Choice Requires="wps">
          <w:drawing>
            <wp:anchor distT="0" distB="0" distL="114300" distR="114300" simplePos="0" relativeHeight="251663360" behindDoc="1" locked="0" layoutInCell="1" allowOverlap="1" wp14:anchorId="4883A2BB" wp14:editId="7D06AE6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840BE" w14:textId="77777777" w:rsidR="00795E02" w:rsidRPr="0059261D" w:rsidRDefault="00795E02" w:rsidP="00795E02">
                          <w:pPr>
                            <w:pStyle w:val="Ttulo4"/>
                          </w:pPr>
                        </w:p>
                        <w:p w14:paraId="79F8A9A3" w14:textId="77777777" w:rsidR="00795E02" w:rsidRPr="0059261D" w:rsidRDefault="00795E02" w:rsidP="00795E02">
                          <w:pPr>
                            <w:pStyle w:val="Ttulo4"/>
                          </w:pPr>
                        </w:p>
                        <w:p w14:paraId="5390D2A4" w14:textId="77777777" w:rsidR="00795E02" w:rsidRPr="0059261D" w:rsidRDefault="00795E02" w:rsidP="00795E02">
                          <w:pPr>
                            <w:pStyle w:val="Ttulo3"/>
                          </w:pPr>
                        </w:p>
                        <w:p w14:paraId="75EDC44D"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883A2BB" id="Rectangle 14" o:spid="_x0000_s1026"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" fillcolor="#787878" stroked="f" strokeweight="1pt">
              <v:textbox>
                <w:txbxContent>
                  <w:p w14:paraId="669840BE" w14:textId="77777777" w:rsidR="00795E02" w:rsidRPr="0059261D" w:rsidRDefault="00795E02" w:rsidP="00795E02">
                    <w:pPr>
                      <w:pStyle w:val="Ttulo4"/>
                    </w:pPr>
                  </w:p>
                  <w:p w14:paraId="79F8A9A3" w14:textId="77777777" w:rsidR="00795E02" w:rsidRPr="0059261D" w:rsidRDefault="00795E02" w:rsidP="00795E02">
                    <w:pPr>
                      <w:pStyle w:val="Ttulo4"/>
                    </w:pPr>
                  </w:p>
                  <w:p w14:paraId="5390D2A4" w14:textId="77777777" w:rsidR="00795E02" w:rsidRPr="0059261D" w:rsidRDefault="00795E02" w:rsidP="00795E02">
                    <w:pPr>
                      <w:pStyle w:val="Ttulo3"/>
                    </w:pPr>
                  </w:p>
                  <w:p w14:paraId="75EDC44D" w14:textId="77777777" w:rsidR="00795E02" w:rsidRPr="00795E02" w:rsidRDefault="00795E02" w:rsidP="00795E02">
                    <w:pPr>
                      <w:jc w:val="center"/>
                    </w:pPr>
                  </w:p>
                </w:txbxContent>
              </v:textbox>
            </v:rect>
          </w:pict>
        </mc:Fallback>
      </mc:AlternateContent>
    </w:r>
  </w:p>
  <w:p w14:paraId="07900124" w14:textId="77777777" w:rsidR="00795E02" w:rsidRPr="0059261D" w:rsidRDefault="00EC2B9B" w:rsidP="00795E02">
    <w:pPr>
      <w:pStyle w:val="Ttulo4"/>
    </w:pPr>
    <w:r>
      <w:rPr>
        <w:lang w:val="es-ES"/>
      </w:rPr>
      <w:t>ANTECEDENTES</w:t>
    </w:r>
  </w:p>
  <w:p w14:paraId="3A8863B9" w14:textId="77777777" w:rsidR="00246A65" w:rsidRPr="00246A65" w:rsidRDefault="00213995" w:rsidP="008C1913">
    <w:pPr>
      <w:pStyle w:val="Ttulo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EC2B9B">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6184" w14:textId="77777777" w:rsidR="00EA7E45" w:rsidRDefault="00EC2B9B" w:rsidP="00EA7E45">
    <w:pPr>
      <w:pStyle w:val="Encabezado"/>
    </w:pPr>
    <w:r>
      <w:rPr>
        <w:noProof/>
        <w:lang w:val="es-ES"/>
      </w:rPr>
      <w:drawing>
        <wp:anchor distT="0" distB="0" distL="114300" distR="114300" simplePos="0" relativeHeight="251660288" behindDoc="0" locked="0" layoutInCell="1" allowOverlap="1" wp14:anchorId="045CC643" wp14:editId="762EB81A">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8480" behindDoc="0" locked="0" layoutInCell="1" allowOverlap="1" wp14:anchorId="7959AD63" wp14:editId="005D9732">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1312" behindDoc="0" locked="0" layoutInCell="1" allowOverlap="1" wp14:anchorId="217DFFC1" wp14:editId="79C9577E">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7507B43A" w14:textId="77777777" w:rsidR="00A9632A" w:rsidRDefault="00A9632A" w:rsidP="0059261D">
                          <w:pPr>
                            <w:pStyle w:val="Ttulo4"/>
                          </w:pPr>
                        </w:p>
                        <w:p w14:paraId="439A0B4F" w14:textId="77777777" w:rsidR="0059261D" w:rsidRPr="0059261D" w:rsidRDefault="00EC2B9B" w:rsidP="0059261D">
                          <w:pPr>
                            <w:pStyle w:val="Ttulo4"/>
                          </w:pPr>
                          <w:r>
                            <w:rPr>
                              <w:lang w:val="es-ES"/>
                            </w:rPr>
                            <w:t xml:space="preserve">ANTECEDENTES </w:t>
                          </w:r>
                        </w:p>
                        <w:p w14:paraId="07B0A175" w14:textId="77777777" w:rsidR="0059261D" w:rsidRPr="0059261D" w:rsidRDefault="0059261D" w:rsidP="0059261D">
                          <w:pPr>
                            <w:pStyle w:val="Ttulo4"/>
                          </w:pPr>
                        </w:p>
                        <w:p w14:paraId="1E2EAB1F" w14:textId="77777777" w:rsidR="0059261D" w:rsidRPr="0059261D" w:rsidRDefault="00EC2B9B" w:rsidP="0059261D">
                          <w:pPr>
                            <w:pStyle w:val="Ttulo3"/>
                          </w:pPr>
                          <w:r>
                            <w:rPr>
                              <w:lang w:val="es-ES"/>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17DFFC1"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zEw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" filled="f" stroked="f" strokeweight=".5pt">
              <v:textbox>
                <w:txbxContent>
                  <w:p w14:paraId="7507B43A" w14:textId="77777777" w:rsidR="00A9632A" w:rsidRDefault="00A9632A" w:rsidP="0059261D">
                    <w:pPr>
                      <w:pStyle w:val="Ttulo4"/>
                    </w:pPr>
                  </w:p>
                  <w:p w14:paraId="439A0B4F" w14:textId="77777777" w:rsidR="0059261D" w:rsidRPr="0059261D" w:rsidRDefault="00EC2B9B" w:rsidP="0059261D">
                    <w:pPr>
                      <w:pStyle w:val="Ttulo4"/>
                    </w:pPr>
                    <w:r>
                      <w:rPr>
                        <w:lang w:val="es-ES"/>
                      </w:rPr>
                      <w:t xml:space="preserve">ANTECEDENTES </w:t>
                    </w:r>
                  </w:p>
                  <w:p w14:paraId="07B0A175" w14:textId="77777777" w:rsidR="0059261D" w:rsidRPr="0059261D" w:rsidRDefault="0059261D" w:rsidP="0059261D">
                    <w:pPr>
                      <w:pStyle w:val="Ttulo4"/>
                    </w:pPr>
                  </w:p>
                  <w:p w14:paraId="1E2EAB1F" w14:textId="77777777" w:rsidR="0059261D" w:rsidRPr="0059261D" w:rsidRDefault="00EC2B9B" w:rsidP="0059261D">
                    <w:pPr>
                      <w:pStyle w:val="Ttulo3"/>
                    </w:pPr>
                    <w:r>
                      <w:rPr>
                        <w:lang w:val="es-ES"/>
                      </w:rPr>
                      <w:t>«SAFE2EAT»</w:t>
                    </w:r>
                  </w:p>
                </w:txbxContent>
              </v:textbox>
            </v:shape>
          </w:pict>
        </mc:Fallback>
      </mc:AlternateContent>
    </w:r>
    <w:r>
      <w:rPr>
        <w:noProof/>
        <w:lang w:val="es-ES"/>
      </w:rPr>
      <mc:AlternateContent>
        <mc:Choice Requires="wps">
          <w:drawing>
            <wp:anchor distT="0" distB="0" distL="114300" distR="114300" simplePos="0" relativeHeight="251659264" behindDoc="0" locked="0" layoutInCell="1" allowOverlap="1" wp14:anchorId="3C2E76D5" wp14:editId="5D919F2C">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2"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fillcolor="#787878" stroked="f" strokeweight="1pt"/>
          </w:pict>
        </mc:Fallback>
      </mc:AlternateContent>
    </w:r>
  </w:p>
  <w:p w14:paraId="5F38D7D2" w14:textId="77777777" w:rsidR="00EA7E45" w:rsidRDefault="00EC2B9B">
    <w:pPr>
      <w:pStyle w:val="Encabezado"/>
    </w:pPr>
    <w:r>
      <w:rPr>
        <w:noProof/>
        <w:lang w:val="es-ES"/>
      </w:rPr>
      <mc:AlternateContent>
        <mc:Choice Requires="wps">
          <w:drawing>
            <wp:anchor distT="0" distB="0" distL="114300" distR="114300" simplePos="0" relativeHeight="251667456" behindDoc="0" locked="0" layoutInCell="1" allowOverlap="1" wp14:anchorId="36943400" wp14:editId="6E9BB5BF">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6" o:spid="_x0000_s2053" style="width:69.55pt;height:5.65pt;margin-top:29.4pt;margin-left:0.05pt;mso-width-percent:0;mso-width-relative:margin;mso-wrap-distance-bottom:0;mso-wrap-distance-left:9pt;mso-wrap-distance-right:9pt;mso-wrap-distance-top:0;mso-wrap-style:square;position:absolute;visibility:visible;v-text-anchor:middle;z-index:251670528"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D444C124">
      <w:start w:val="1"/>
      <w:numFmt w:val="bullet"/>
      <w:lvlText w:val=""/>
      <w:lvlJc w:val="left"/>
      <w:pPr>
        <w:ind w:left="720" w:hanging="360"/>
      </w:pPr>
      <w:rPr>
        <w:rFonts w:ascii="Symbol" w:hAnsi="Symbol" w:hint="default"/>
      </w:rPr>
    </w:lvl>
    <w:lvl w:ilvl="1" w:tplc="0A141E0A" w:tentative="1">
      <w:start w:val="1"/>
      <w:numFmt w:val="bullet"/>
      <w:lvlText w:val="o"/>
      <w:lvlJc w:val="left"/>
      <w:pPr>
        <w:ind w:left="1440" w:hanging="360"/>
      </w:pPr>
      <w:rPr>
        <w:rFonts w:ascii="Courier New" w:hAnsi="Courier New" w:cs="Courier New" w:hint="default"/>
      </w:rPr>
    </w:lvl>
    <w:lvl w:ilvl="2" w:tplc="CEAE6B1E" w:tentative="1">
      <w:start w:val="1"/>
      <w:numFmt w:val="bullet"/>
      <w:lvlText w:val=""/>
      <w:lvlJc w:val="left"/>
      <w:pPr>
        <w:ind w:left="2160" w:hanging="360"/>
      </w:pPr>
      <w:rPr>
        <w:rFonts w:ascii="Wingdings" w:hAnsi="Wingdings" w:hint="default"/>
      </w:rPr>
    </w:lvl>
    <w:lvl w:ilvl="3" w:tplc="C9160A5C" w:tentative="1">
      <w:start w:val="1"/>
      <w:numFmt w:val="bullet"/>
      <w:lvlText w:val=""/>
      <w:lvlJc w:val="left"/>
      <w:pPr>
        <w:ind w:left="2880" w:hanging="360"/>
      </w:pPr>
      <w:rPr>
        <w:rFonts w:ascii="Symbol" w:hAnsi="Symbol" w:hint="default"/>
      </w:rPr>
    </w:lvl>
    <w:lvl w:ilvl="4" w:tplc="B65ED17A" w:tentative="1">
      <w:start w:val="1"/>
      <w:numFmt w:val="bullet"/>
      <w:lvlText w:val="o"/>
      <w:lvlJc w:val="left"/>
      <w:pPr>
        <w:ind w:left="3600" w:hanging="360"/>
      </w:pPr>
      <w:rPr>
        <w:rFonts w:ascii="Courier New" w:hAnsi="Courier New" w:cs="Courier New" w:hint="default"/>
      </w:rPr>
    </w:lvl>
    <w:lvl w:ilvl="5" w:tplc="AB7E6E24" w:tentative="1">
      <w:start w:val="1"/>
      <w:numFmt w:val="bullet"/>
      <w:lvlText w:val=""/>
      <w:lvlJc w:val="left"/>
      <w:pPr>
        <w:ind w:left="4320" w:hanging="360"/>
      </w:pPr>
      <w:rPr>
        <w:rFonts w:ascii="Wingdings" w:hAnsi="Wingdings" w:hint="default"/>
      </w:rPr>
    </w:lvl>
    <w:lvl w:ilvl="6" w:tplc="C9544748" w:tentative="1">
      <w:start w:val="1"/>
      <w:numFmt w:val="bullet"/>
      <w:lvlText w:val=""/>
      <w:lvlJc w:val="left"/>
      <w:pPr>
        <w:ind w:left="5040" w:hanging="360"/>
      </w:pPr>
      <w:rPr>
        <w:rFonts w:ascii="Symbol" w:hAnsi="Symbol" w:hint="default"/>
      </w:rPr>
    </w:lvl>
    <w:lvl w:ilvl="7" w:tplc="2A323A4A" w:tentative="1">
      <w:start w:val="1"/>
      <w:numFmt w:val="bullet"/>
      <w:lvlText w:val="o"/>
      <w:lvlJc w:val="left"/>
      <w:pPr>
        <w:ind w:left="5760" w:hanging="360"/>
      </w:pPr>
      <w:rPr>
        <w:rFonts w:ascii="Courier New" w:hAnsi="Courier New" w:cs="Courier New" w:hint="default"/>
      </w:rPr>
    </w:lvl>
    <w:lvl w:ilvl="8" w:tplc="88384146"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8F6A5C60">
      <w:start w:val="1"/>
      <w:numFmt w:val="bullet"/>
      <w:lvlText w:val=""/>
      <w:lvlJc w:val="left"/>
      <w:pPr>
        <w:ind w:left="502" w:hanging="360"/>
      </w:pPr>
      <w:rPr>
        <w:rFonts w:ascii="Symbol" w:hAnsi="Symbol" w:hint="default"/>
        <w:color w:val="4472C4" w:themeColor="accent1"/>
        <w:sz w:val="18"/>
      </w:rPr>
    </w:lvl>
    <w:lvl w:ilvl="1" w:tplc="5EA66CD0">
      <w:start w:val="1"/>
      <w:numFmt w:val="bullet"/>
      <w:pStyle w:val="Listparalevel2"/>
      <w:lvlText w:val="o"/>
      <w:lvlJc w:val="left"/>
      <w:pPr>
        <w:ind w:left="2576" w:hanging="360"/>
      </w:pPr>
      <w:rPr>
        <w:rFonts w:ascii="Courier New" w:hAnsi="Courier New" w:cs="Courier New" w:hint="default"/>
      </w:rPr>
    </w:lvl>
    <w:lvl w:ilvl="2" w:tplc="EE2E1020">
      <w:start w:val="1"/>
      <w:numFmt w:val="bullet"/>
      <w:pStyle w:val="Listparalevel3"/>
      <w:lvlText w:val=""/>
      <w:lvlJc w:val="left"/>
      <w:pPr>
        <w:ind w:left="3296" w:hanging="360"/>
      </w:pPr>
      <w:rPr>
        <w:rFonts w:ascii="Wingdings" w:hAnsi="Wingdings" w:hint="default"/>
      </w:rPr>
    </w:lvl>
    <w:lvl w:ilvl="3" w:tplc="1618D6CE" w:tentative="1">
      <w:start w:val="1"/>
      <w:numFmt w:val="bullet"/>
      <w:lvlText w:val=""/>
      <w:lvlJc w:val="left"/>
      <w:pPr>
        <w:ind w:left="4016" w:hanging="360"/>
      </w:pPr>
      <w:rPr>
        <w:rFonts w:ascii="Symbol" w:hAnsi="Symbol" w:hint="default"/>
      </w:rPr>
    </w:lvl>
    <w:lvl w:ilvl="4" w:tplc="2F3EADA8" w:tentative="1">
      <w:start w:val="1"/>
      <w:numFmt w:val="bullet"/>
      <w:lvlText w:val="o"/>
      <w:lvlJc w:val="left"/>
      <w:pPr>
        <w:ind w:left="4736" w:hanging="360"/>
      </w:pPr>
      <w:rPr>
        <w:rFonts w:ascii="Courier New" w:hAnsi="Courier New" w:cs="Courier New" w:hint="default"/>
      </w:rPr>
    </w:lvl>
    <w:lvl w:ilvl="5" w:tplc="93CEBF00" w:tentative="1">
      <w:start w:val="1"/>
      <w:numFmt w:val="bullet"/>
      <w:lvlText w:val=""/>
      <w:lvlJc w:val="left"/>
      <w:pPr>
        <w:ind w:left="5456" w:hanging="360"/>
      </w:pPr>
      <w:rPr>
        <w:rFonts w:ascii="Wingdings" w:hAnsi="Wingdings" w:hint="default"/>
      </w:rPr>
    </w:lvl>
    <w:lvl w:ilvl="6" w:tplc="DB0E3920" w:tentative="1">
      <w:start w:val="1"/>
      <w:numFmt w:val="bullet"/>
      <w:lvlText w:val=""/>
      <w:lvlJc w:val="left"/>
      <w:pPr>
        <w:ind w:left="6176" w:hanging="360"/>
      </w:pPr>
      <w:rPr>
        <w:rFonts w:ascii="Symbol" w:hAnsi="Symbol" w:hint="default"/>
      </w:rPr>
    </w:lvl>
    <w:lvl w:ilvl="7" w:tplc="D0C81A2A" w:tentative="1">
      <w:start w:val="1"/>
      <w:numFmt w:val="bullet"/>
      <w:lvlText w:val="o"/>
      <w:lvlJc w:val="left"/>
      <w:pPr>
        <w:ind w:left="6896" w:hanging="360"/>
      </w:pPr>
      <w:rPr>
        <w:rFonts w:ascii="Courier New" w:hAnsi="Courier New" w:cs="Courier New" w:hint="default"/>
      </w:rPr>
    </w:lvl>
    <w:lvl w:ilvl="8" w:tplc="22543C90" w:tentative="1">
      <w:start w:val="1"/>
      <w:numFmt w:val="bullet"/>
      <w:lvlText w:val=""/>
      <w:lvlJc w:val="left"/>
      <w:pPr>
        <w:ind w:left="7616" w:hanging="360"/>
      </w:pPr>
      <w:rPr>
        <w:rFonts w:ascii="Wingdings" w:hAnsi="Wingdings" w:hint="default"/>
      </w:rPr>
    </w:lvl>
  </w:abstractNum>
  <w:abstractNum w:abstractNumId="2" w15:restartNumberingAfterBreak="0">
    <w:nsid w:val="41AF13C2"/>
    <w:multiLevelType w:val="hybridMultilevel"/>
    <w:tmpl w:val="38B2888C"/>
    <w:lvl w:ilvl="0" w:tplc="C0E218EC">
      <w:start w:val="1"/>
      <w:numFmt w:val="bullet"/>
      <w:lvlText w:val=""/>
      <w:lvlJc w:val="left"/>
      <w:pPr>
        <w:ind w:left="720" w:hanging="360"/>
      </w:pPr>
      <w:rPr>
        <w:rFonts w:ascii="Symbol" w:hAnsi="Symbol" w:hint="default"/>
      </w:rPr>
    </w:lvl>
    <w:lvl w:ilvl="1" w:tplc="6540C62C" w:tentative="1">
      <w:start w:val="1"/>
      <w:numFmt w:val="bullet"/>
      <w:lvlText w:val="o"/>
      <w:lvlJc w:val="left"/>
      <w:pPr>
        <w:ind w:left="1440" w:hanging="360"/>
      </w:pPr>
      <w:rPr>
        <w:rFonts w:ascii="Courier New" w:hAnsi="Courier New" w:cs="Courier New" w:hint="default"/>
      </w:rPr>
    </w:lvl>
    <w:lvl w:ilvl="2" w:tplc="3F38D0E8" w:tentative="1">
      <w:start w:val="1"/>
      <w:numFmt w:val="bullet"/>
      <w:lvlText w:val=""/>
      <w:lvlJc w:val="left"/>
      <w:pPr>
        <w:ind w:left="2160" w:hanging="360"/>
      </w:pPr>
      <w:rPr>
        <w:rFonts w:ascii="Wingdings" w:hAnsi="Wingdings" w:hint="default"/>
      </w:rPr>
    </w:lvl>
    <w:lvl w:ilvl="3" w:tplc="D9506A4E" w:tentative="1">
      <w:start w:val="1"/>
      <w:numFmt w:val="bullet"/>
      <w:lvlText w:val=""/>
      <w:lvlJc w:val="left"/>
      <w:pPr>
        <w:ind w:left="2880" w:hanging="360"/>
      </w:pPr>
      <w:rPr>
        <w:rFonts w:ascii="Symbol" w:hAnsi="Symbol" w:hint="default"/>
      </w:rPr>
    </w:lvl>
    <w:lvl w:ilvl="4" w:tplc="9296F132" w:tentative="1">
      <w:start w:val="1"/>
      <w:numFmt w:val="bullet"/>
      <w:lvlText w:val="o"/>
      <w:lvlJc w:val="left"/>
      <w:pPr>
        <w:ind w:left="3600" w:hanging="360"/>
      </w:pPr>
      <w:rPr>
        <w:rFonts w:ascii="Courier New" w:hAnsi="Courier New" w:cs="Courier New" w:hint="default"/>
      </w:rPr>
    </w:lvl>
    <w:lvl w:ilvl="5" w:tplc="98B4A410" w:tentative="1">
      <w:start w:val="1"/>
      <w:numFmt w:val="bullet"/>
      <w:lvlText w:val=""/>
      <w:lvlJc w:val="left"/>
      <w:pPr>
        <w:ind w:left="4320" w:hanging="360"/>
      </w:pPr>
      <w:rPr>
        <w:rFonts w:ascii="Wingdings" w:hAnsi="Wingdings" w:hint="default"/>
      </w:rPr>
    </w:lvl>
    <w:lvl w:ilvl="6" w:tplc="88FA4BFA" w:tentative="1">
      <w:start w:val="1"/>
      <w:numFmt w:val="bullet"/>
      <w:lvlText w:val=""/>
      <w:lvlJc w:val="left"/>
      <w:pPr>
        <w:ind w:left="5040" w:hanging="360"/>
      </w:pPr>
      <w:rPr>
        <w:rFonts w:ascii="Symbol" w:hAnsi="Symbol" w:hint="default"/>
      </w:rPr>
    </w:lvl>
    <w:lvl w:ilvl="7" w:tplc="0AD2699C" w:tentative="1">
      <w:start w:val="1"/>
      <w:numFmt w:val="bullet"/>
      <w:lvlText w:val="o"/>
      <w:lvlJc w:val="left"/>
      <w:pPr>
        <w:ind w:left="5760" w:hanging="360"/>
      </w:pPr>
      <w:rPr>
        <w:rFonts w:ascii="Courier New" w:hAnsi="Courier New" w:cs="Courier New" w:hint="default"/>
      </w:rPr>
    </w:lvl>
    <w:lvl w:ilvl="8" w:tplc="FDAA2824" w:tentative="1">
      <w:start w:val="1"/>
      <w:numFmt w:val="bullet"/>
      <w:lvlText w:val=""/>
      <w:lvlJc w:val="left"/>
      <w:pPr>
        <w:ind w:left="6480" w:hanging="360"/>
      </w:pPr>
      <w:rPr>
        <w:rFonts w:ascii="Wingdings" w:hAnsi="Wingdings" w:hint="default"/>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5DEA"/>
    <w:multiLevelType w:val="hybridMultilevel"/>
    <w:tmpl w:val="2CA88D32"/>
    <w:lvl w:ilvl="0" w:tplc="0366B122">
      <w:start w:val="1"/>
      <w:numFmt w:val="bullet"/>
      <w:lvlText w:val=""/>
      <w:lvlJc w:val="left"/>
      <w:pPr>
        <w:ind w:left="1440" w:hanging="360"/>
      </w:pPr>
      <w:rPr>
        <w:rFonts w:ascii="Symbol" w:hAnsi="Symbol" w:hint="default"/>
      </w:rPr>
    </w:lvl>
    <w:lvl w:ilvl="1" w:tplc="1B60B490" w:tentative="1">
      <w:start w:val="1"/>
      <w:numFmt w:val="bullet"/>
      <w:lvlText w:val="o"/>
      <w:lvlJc w:val="left"/>
      <w:pPr>
        <w:ind w:left="2160" w:hanging="360"/>
      </w:pPr>
      <w:rPr>
        <w:rFonts w:ascii="Courier New" w:hAnsi="Courier New" w:cs="Courier New" w:hint="default"/>
      </w:rPr>
    </w:lvl>
    <w:lvl w:ilvl="2" w:tplc="6A720D36" w:tentative="1">
      <w:start w:val="1"/>
      <w:numFmt w:val="bullet"/>
      <w:lvlText w:val=""/>
      <w:lvlJc w:val="left"/>
      <w:pPr>
        <w:ind w:left="2880" w:hanging="360"/>
      </w:pPr>
      <w:rPr>
        <w:rFonts w:ascii="Wingdings" w:hAnsi="Wingdings" w:hint="default"/>
      </w:rPr>
    </w:lvl>
    <w:lvl w:ilvl="3" w:tplc="40CAE31E" w:tentative="1">
      <w:start w:val="1"/>
      <w:numFmt w:val="bullet"/>
      <w:lvlText w:val=""/>
      <w:lvlJc w:val="left"/>
      <w:pPr>
        <w:ind w:left="3600" w:hanging="360"/>
      </w:pPr>
      <w:rPr>
        <w:rFonts w:ascii="Symbol" w:hAnsi="Symbol" w:hint="default"/>
      </w:rPr>
    </w:lvl>
    <w:lvl w:ilvl="4" w:tplc="8DA80ABC" w:tentative="1">
      <w:start w:val="1"/>
      <w:numFmt w:val="bullet"/>
      <w:lvlText w:val="o"/>
      <w:lvlJc w:val="left"/>
      <w:pPr>
        <w:ind w:left="4320" w:hanging="360"/>
      </w:pPr>
      <w:rPr>
        <w:rFonts w:ascii="Courier New" w:hAnsi="Courier New" w:cs="Courier New" w:hint="default"/>
      </w:rPr>
    </w:lvl>
    <w:lvl w:ilvl="5" w:tplc="4274CFB2" w:tentative="1">
      <w:start w:val="1"/>
      <w:numFmt w:val="bullet"/>
      <w:lvlText w:val=""/>
      <w:lvlJc w:val="left"/>
      <w:pPr>
        <w:ind w:left="5040" w:hanging="360"/>
      </w:pPr>
      <w:rPr>
        <w:rFonts w:ascii="Wingdings" w:hAnsi="Wingdings" w:hint="default"/>
      </w:rPr>
    </w:lvl>
    <w:lvl w:ilvl="6" w:tplc="9DE60CAE" w:tentative="1">
      <w:start w:val="1"/>
      <w:numFmt w:val="bullet"/>
      <w:lvlText w:val=""/>
      <w:lvlJc w:val="left"/>
      <w:pPr>
        <w:ind w:left="5760" w:hanging="360"/>
      </w:pPr>
      <w:rPr>
        <w:rFonts w:ascii="Symbol" w:hAnsi="Symbol" w:hint="default"/>
      </w:rPr>
    </w:lvl>
    <w:lvl w:ilvl="7" w:tplc="ABC676A2" w:tentative="1">
      <w:start w:val="1"/>
      <w:numFmt w:val="bullet"/>
      <w:lvlText w:val="o"/>
      <w:lvlJc w:val="left"/>
      <w:pPr>
        <w:ind w:left="6480" w:hanging="360"/>
      </w:pPr>
      <w:rPr>
        <w:rFonts w:ascii="Courier New" w:hAnsi="Courier New" w:cs="Courier New" w:hint="default"/>
      </w:rPr>
    </w:lvl>
    <w:lvl w:ilvl="8" w:tplc="B6902D0A" w:tentative="1">
      <w:start w:val="1"/>
      <w:numFmt w:val="bullet"/>
      <w:lvlText w:val=""/>
      <w:lvlJc w:val="left"/>
      <w:pPr>
        <w:ind w:left="7200" w:hanging="360"/>
      </w:pPr>
      <w:rPr>
        <w:rFonts w:ascii="Wingdings" w:hAnsi="Wingdings" w:hint="default"/>
      </w:rPr>
    </w:lvl>
  </w:abstractNum>
  <w:abstractNum w:abstractNumId="6" w15:restartNumberingAfterBreak="0">
    <w:nsid w:val="52A54A87"/>
    <w:multiLevelType w:val="hybridMultilevel"/>
    <w:tmpl w:val="55CAB824"/>
    <w:lvl w:ilvl="0" w:tplc="5E94CBCC">
      <w:start w:val="1"/>
      <w:numFmt w:val="decimal"/>
      <w:pStyle w:val="listnumgreen"/>
      <w:lvlText w:val="%1."/>
      <w:lvlJc w:val="left"/>
      <w:pPr>
        <w:ind w:left="360" w:hanging="360"/>
      </w:pPr>
      <w:rPr>
        <w:rFonts w:hint="default"/>
        <w:color w:val="22294D"/>
        <w:sz w:val="18"/>
      </w:rPr>
    </w:lvl>
    <w:lvl w:ilvl="1" w:tplc="FA6A3EC0" w:tentative="1">
      <w:start w:val="1"/>
      <w:numFmt w:val="lowerLetter"/>
      <w:lvlText w:val="%2."/>
      <w:lvlJc w:val="left"/>
      <w:pPr>
        <w:ind w:left="1440" w:hanging="360"/>
      </w:pPr>
    </w:lvl>
    <w:lvl w:ilvl="2" w:tplc="AD6EE44C" w:tentative="1">
      <w:start w:val="1"/>
      <w:numFmt w:val="lowerRoman"/>
      <w:lvlText w:val="%3."/>
      <w:lvlJc w:val="right"/>
      <w:pPr>
        <w:ind w:left="2160" w:hanging="180"/>
      </w:pPr>
    </w:lvl>
    <w:lvl w:ilvl="3" w:tplc="BAB2CFDC" w:tentative="1">
      <w:start w:val="1"/>
      <w:numFmt w:val="decimal"/>
      <w:lvlText w:val="%4."/>
      <w:lvlJc w:val="left"/>
      <w:pPr>
        <w:ind w:left="2880" w:hanging="360"/>
      </w:pPr>
    </w:lvl>
    <w:lvl w:ilvl="4" w:tplc="C90C7430" w:tentative="1">
      <w:start w:val="1"/>
      <w:numFmt w:val="lowerLetter"/>
      <w:lvlText w:val="%5."/>
      <w:lvlJc w:val="left"/>
      <w:pPr>
        <w:ind w:left="3600" w:hanging="360"/>
      </w:pPr>
    </w:lvl>
    <w:lvl w:ilvl="5" w:tplc="F808F3B8" w:tentative="1">
      <w:start w:val="1"/>
      <w:numFmt w:val="lowerRoman"/>
      <w:lvlText w:val="%6."/>
      <w:lvlJc w:val="right"/>
      <w:pPr>
        <w:ind w:left="4320" w:hanging="180"/>
      </w:pPr>
    </w:lvl>
    <w:lvl w:ilvl="6" w:tplc="96FCED7C" w:tentative="1">
      <w:start w:val="1"/>
      <w:numFmt w:val="decimal"/>
      <w:lvlText w:val="%7."/>
      <w:lvlJc w:val="left"/>
      <w:pPr>
        <w:ind w:left="5040" w:hanging="360"/>
      </w:pPr>
    </w:lvl>
    <w:lvl w:ilvl="7" w:tplc="4E44F946" w:tentative="1">
      <w:start w:val="1"/>
      <w:numFmt w:val="lowerLetter"/>
      <w:lvlText w:val="%8."/>
      <w:lvlJc w:val="left"/>
      <w:pPr>
        <w:ind w:left="5760" w:hanging="360"/>
      </w:pPr>
    </w:lvl>
    <w:lvl w:ilvl="8" w:tplc="96781DDA"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00F3"/>
    <w:rsid w:val="00011FEA"/>
    <w:rsid w:val="0002558E"/>
    <w:rsid w:val="00056D3B"/>
    <w:rsid w:val="000D09ED"/>
    <w:rsid w:val="000D1D3E"/>
    <w:rsid w:val="000E674D"/>
    <w:rsid w:val="000F09FC"/>
    <w:rsid w:val="00105A97"/>
    <w:rsid w:val="00120CDF"/>
    <w:rsid w:val="0013355C"/>
    <w:rsid w:val="00141C72"/>
    <w:rsid w:val="00180041"/>
    <w:rsid w:val="001A0E65"/>
    <w:rsid w:val="001D0A4B"/>
    <w:rsid w:val="001F28AD"/>
    <w:rsid w:val="00213995"/>
    <w:rsid w:val="0021430D"/>
    <w:rsid w:val="00220839"/>
    <w:rsid w:val="002241E7"/>
    <w:rsid w:val="00246A65"/>
    <w:rsid w:val="002A40AD"/>
    <w:rsid w:val="002A4DB9"/>
    <w:rsid w:val="002C142C"/>
    <w:rsid w:val="002E01EA"/>
    <w:rsid w:val="002F3A5D"/>
    <w:rsid w:val="00306FA4"/>
    <w:rsid w:val="00317B4D"/>
    <w:rsid w:val="00323A85"/>
    <w:rsid w:val="00351ECF"/>
    <w:rsid w:val="00382076"/>
    <w:rsid w:val="003940BB"/>
    <w:rsid w:val="003B46F5"/>
    <w:rsid w:val="003D678D"/>
    <w:rsid w:val="004033DA"/>
    <w:rsid w:val="0041507F"/>
    <w:rsid w:val="00416D44"/>
    <w:rsid w:val="004668B8"/>
    <w:rsid w:val="00475391"/>
    <w:rsid w:val="004A79D0"/>
    <w:rsid w:val="004D4C1F"/>
    <w:rsid w:val="004E3A76"/>
    <w:rsid w:val="00507A72"/>
    <w:rsid w:val="00543BE0"/>
    <w:rsid w:val="0054775D"/>
    <w:rsid w:val="005655C5"/>
    <w:rsid w:val="00586C90"/>
    <w:rsid w:val="0059261D"/>
    <w:rsid w:val="005B3B3E"/>
    <w:rsid w:val="005D6A58"/>
    <w:rsid w:val="00634CDE"/>
    <w:rsid w:val="00702B23"/>
    <w:rsid w:val="0071055D"/>
    <w:rsid w:val="00715DE1"/>
    <w:rsid w:val="0073258A"/>
    <w:rsid w:val="0073762D"/>
    <w:rsid w:val="0075657E"/>
    <w:rsid w:val="00795E02"/>
    <w:rsid w:val="007C5148"/>
    <w:rsid w:val="007D526C"/>
    <w:rsid w:val="00812454"/>
    <w:rsid w:val="0082532A"/>
    <w:rsid w:val="008A4870"/>
    <w:rsid w:val="008C1913"/>
    <w:rsid w:val="008E67E4"/>
    <w:rsid w:val="008F5855"/>
    <w:rsid w:val="00902520"/>
    <w:rsid w:val="0094370A"/>
    <w:rsid w:val="00956292"/>
    <w:rsid w:val="00970608"/>
    <w:rsid w:val="009A5CDA"/>
    <w:rsid w:val="009A71AE"/>
    <w:rsid w:val="009B7DC9"/>
    <w:rsid w:val="009D6DD0"/>
    <w:rsid w:val="00A11232"/>
    <w:rsid w:val="00A1131A"/>
    <w:rsid w:val="00A2603D"/>
    <w:rsid w:val="00A4388E"/>
    <w:rsid w:val="00A80FE6"/>
    <w:rsid w:val="00A9632A"/>
    <w:rsid w:val="00AA3A2B"/>
    <w:rsid w:val="00AB7664"/>
    <w:rsid w:val="00AC7A94"/>
    <w:rsid w:val="00AD0505"/>
    <w:rsid w:val="00AF3C84"/>
    <w:rsid w:val="00AF406B"/>
    <w:rsid w:val="00B02ED9"/>
    <w:rsid w:val="00B301A0"/>
    <w:rsid w:val="00BE07DB"/>
    <w:rsid w:val="00BE13CD"/>
    <w:rsid w:val="00BF4BC3"/>
    <w:rsid w:val="00C854B7"/>
    <w:rsid w:val="00CE50A2"/>
    <w:rsid w:val="00D00597"/>
    <w:rsid w:val="00D25D69"/>
    <w:rsid w:val="00D4082C"/>
    <w:rsid w:val="00D44BFF"/>
    <w:rsid w:val="00D509BA"/>
    <w:rsid w:val="00D67C5A"/>
    <w:rsid w:val="00D84CE5"/>
    <w:rsid w:val="00D860BB"/>
    <w:rsid w:val="00DC488F"/>
    <w:rsid w:val="00E24E17"/>
    <w:rsid w:val="00E46848"/>
    <w:rsid w:val="00E835D1"/>
    <w:rsid w:val="00E8477F"/>
    <w:rsid w:val="00EA7E45"/>
    <w:rsid w:val="00EC2B9B"/>
    <w:rsid w:val="00F2317D"/>
    <w:rsid w:val="00F44AE5"/>
    <w:rsid w:val="00F73721"/>
    <w:rsid w:val="00FB1EB5"/>
    <w:rsid w:val="00FB6BB6"/>
    <w:rsid w:val="00FE4DFC"/>
    <w:rsid w:val="00FF524A"/>
    <w:rsid w:val="01FCFFE9"/>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24074C1"/>
    <w:rsid w:val="28916A29"/>
    <w:rsid w:val="28D3635F"/>
    <w:rsid w:val="29CCE15B"/>
    <w:rsid w:val="2BD57FFB"/>
    <w:rsid w:val="30F4984B"/>
    <w:rsid w:val="37CC6C5B"/>
    <w:rsid w:val="3B1117E6"/>
    <w:rsid w:val="3BD79457"/>
    <w:rsid w:val="3ECC3847"/>
    <w:rsid w:val="3ED909BA"/>
    <w:rsid w:val="3F99ABC1"/>
    <w:rsid w:val="3FC2F55B"/>
    <w:rsid w:val="454F6CD3"/>
    <w:rsid w:val="49CD1C98"/>
    <w:rsid w:val="4BDB4841"/>
    <w:rsid w:val="4EA85631"/>
    <w:rsid w:val="4FD507E4"/>
    <w:rsid w:val="525A065A"/>
    <w:rsid w:val="5847C269"/>
    <w:rsid w:val="5D29E84F"/>
    <w:rsid w:val="5F748C5A"/>
    <w:rsid w:val="661CED67"/>
    <w:rsid w:val="6DAF314A"/>
    <w:rsid w:val="70D82F23"/>
    <w:rsid w:val="77312CF1"/>
    <w:rsid w:val="777B163A"/>
    <w:rsid w:val="79D53178"/>
    <w:rsid w:val="7B30807F"/>
    <w:rsid w:val="7E834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AD59"/>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Ttulo1">
    <w:name w:val="heading 1"/>
    <w:aliases w:val="3 - Contact"/>
    <w:basedOn w:val="Normal"/>
    <w:next w:val="Normal"/>
    <w:link w:val="Ttulo1Car"/>
    <w:uiPriority w:val="9"/>
    <w:qFormat/>
    <w:rsid w:val="00120CDF"/>
    <w:pPr>
      <w:spacing w:after="0"/>
      <w:ind w:right="0"/>
      <w:outlineLvl w:val="0"/>
    </w:pPr>
  </w:style>
  <w:style w:type="paragraph" w:styleId="Ttulo2">
    <w:name w:val="heading 2"/>
    <w:aliases w:val="5 - Optional subheadline"/>
    <w:basedOn w:val="Normal"/>
    <w:next w:val="Normal"/>
    <w:link w:val="Ttulo2Car"/>
    <w:uiPriority w:val="9"/>
    <w:unhideWhenUsed/>
    <w:qFormat/>
    <w:rsid w:val="00120CDF"/>
    <w:pPr>
      <w:spacing w:after="360"/>
      <w:ind w:right="0"/>
      <w:jc w:val="right"/>
      <w:outlineLvl w:val="1"/>
    </w:pPr>
    <w:rPr>
      <w:b/>
      <w:bCs/>
      <w:sz w:val="36"/>
      <w:szCs w:val="36"/>
    </w:rPr>
  </w:style>
  <w:style w:type="paragraph" w:styleId="Ttulo3">
    <w:name w:val="heading 3"/>
    <w:aliases w:val="2 - Headline header"/>
    <w:basedOn w:val="Normal"/>
    <w:next w:val="Normal"/>
    <w:link w:val="Ttulo3Car"/>
    <w:uiPriority w:val="9"/>
    <w:unhideWhenUsed/>
    <w:qFormat/>
    <w:rsid w:val="0059261D"/>
    <w:pPr>
      <w:spacing w:before="240" w:after="0"/>
      <w:ind w:right="0"/>
      <w:outlineLvl w:val="2"/>
    </w:pPr>
    <w:rPr>
      <w:color w:val="FFFFFF" w:themeColor="background1"/>
      <w:sz w:val="32"/>
      <w:szCs w:val="32"/>
    </w:rPr>
  </w:style>
  <w:style w:type="paragraph" w:styleId="Ttulo4">
    <w:name w:val="heading 4"/>
    <w:aliases w:val="1 - Date &amp; Press release"/>
    <w:basedOn w:val="Normal"/>
    <w:next w:val="Normal"/>
    <w:link w:val="Ttulo4Car"/>
    <w:uiPriority w:val="9"/>
    <w:unhideWhenUsed/>
    <w:qFormat/>
    <w:rsid w:val="0059261D"/>
    <w:pPr>
      <w:spacing w:after="40"/>
      <w:outlineLvl w:val="3"/>
    </w:pPr>
    <w:rPr>
      <w:color w:val="FFFFFF" w:themeColor="background1"/>
      <w:sz w:val="24"/>
      <w:szCs w:val="36"/>
    </w:rPr>
  </w:style>
  <w:style w:type="paragraph" w:styleId="Ttulo5">
    <w:name w:val="heading 5"/>
    <w:aliases w:val="4 - Headline body"/>
    <w:basedOn w:val="Ttulo1"/>
    <w:next w:val="Normal"/>
    <w:link w:val="Ttulo5Car"/>
    <w:uiPriority w:val="9"/>
    <w:unhideWhenUsed/>
    <w:qFormat/>
    <w:rsid w:val="00120CDF"/>
    <w:pPr>
      <w:spacing w:after="120"/>
      <w:jc w:val="right"/>
      <w:outlineLvl w:val="4"/>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level2">
    <w:name w:val="List para level 2"/>
    <w:basedOn w:val="Prrafodelista"/>
    <w:link w:val="Listparalevel2Char"/>
    <w:rsid w:val="00A11232"/>
    <w:pPr>
      <w:numPr>
        <w:ilvl w:val="1"/>
        <w:numId w:val="5"/>
      </w:numPr>
    </w:pPr>
  </w:style>
  <w:style w:type="character" w:customStyle="1" w:styleId="Listparalevel2Char">
    <w:name w:val="List para level 2 Char"/>
    <w:basedOn w:val="PrrafodelistaCar"/>
    <w:link w:val="Listparalevel2"/>
    <w:rsid w:val="00A11232"/>
    <w:rPr>
      <w:noProof/>
      <w:color w:val="787878"/>
      <w:sz w:val="19"/>
      <w:lang w:val="fr-FR"/>
    </w:rPr>
  </w:style>
  <w:style w:type="paragraph" w:styleId="Prrafodelista">
    <w:name w:val="List Paragraph"/>
    <w:basedOn w:val="Normal"/>
    <w:link w:val="PrrafodelistaC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Prrafodelista"/>
    <w:rsid w:val="00A11232"/>
    <w:pPr>
      <w:numPr>
        <w:numId w:val="6"/>
      </w:numPr>
    </w:pPr>
  </w:style>
  <w:style w:type="paragraph" w:customStyle="1" w:styleId="Contact">
    <w:name w:val="Contact"/>
    <w:basedOn w:val="Normal"/>
    <w:qFormat/>
    <w:rsid w:val="00A11232"/>
    <w:pPr>
      <w:spacing w:after="0"/>
      <w:ind w:right="-425"/>
    </w:pPr>
  </w:style>
  <w:style w:type="character" w:customStyle="1" w:styleId="Ttulo1Car">
    <w:name w:val="Título 1 Car"/>
    <w:aliases w:val="3 - Contact Car"/>
    <w:basedOn w:val="Fuentedeprrafopredeter"/>
    <w:link w:val="Ttulo1"/>
    <w:uiPriority w:val="9"/>
    <w:rsid w:val="00120CDF"/>
    <w:rPr>
      <w:color w:val="22294D"/>
      <w:sz w:val="19"/>
      <w:lang w:val="en-US"/>
    </w:rPr>
  </w:style>
  <w:style w:type="character" w:customStyle="1" w:styleId="Ttulo2Car">
    <w:name w:val="Título 2 Car"/>
    <w:aliases w:val="5 - Optional subheadline Car"/>
    <w:basedOn w:val="Fuentedeprrafopredeter"/>
    <w:link w:val="Ttulo2"/>
    <w:uiPriority w:val="9"/>
    <w:rsid w:val="00120CDF"/>
    <w:rPr>
      <w:b/>
      <w:bCs/>
      <w:color w:val="22294D"/>
      <w:sz w:val="36"/>
      <w:szCs w:val="36"/>
      <w:lang w:val="en-US"/>
    </w:rPr>
  </w:style>
  <w:style w:type="character" w:customStyle="1" w:styleId="Ttulo3Car">
    <w:name w:val="Título 3 Car"/>
    <w:aliases w:val="2 - Headline header Car"/>
    <w:basedOn w:val="Fuentedeprrafopredeter"/>
    <w:link w:val="Ttulo3"/>
    <w:uiPriority w:val="9"/>
    <w:rsid w:val="0059261D"/>
    <w:rPr>
      <w:color w:val="FFFFFF" w:themeColor="background1"/>
      <w:sz w:val="32"/>
      <w:szCs w:val="32"/>
      <w:lang w:val="en-US"/>
    </w:rPr>
  </w:style>
  <w:style w:type="character" w:customStyle="1" w:styleId="Ttulo4Car">
    <w:name w:val="Título 4 Car"/>
    <w:aliases w:val="1 - Date &amp; Press release Car"/>
    <w:basedOn w:val="Fuentedeprrafopredeter"/>
    <w:link w:val="Ttulo4"/>
    <w:uiPriority w:val="9"/>
    <w:rsid w:val="0059261D"/>
    <w:rPr>
      <w:color w:val="FFFFFF" w:themeColor="background1"/>
      <w:sz w:val="24"/>
      <w:szCs w:val="36"/>
      <w:lang w:val="en-US"/>
    </w:rPr>
  </w:style>
  <w:style w:type="character" w:customStyle="1" w:styleId="Ttulo5Car">
    <w:name w:val="Título 5 Car"/>
    <w:aliases w:val="4 - Headline body Car"/>
    <w:basedOn w:val="Fuentedeprrafopredeter"/>
    <w:link w:val="Ttulo5"/>
    <w:uiPriority w:val="9"/>
    <w:rsid w:val="00120CDF"/>
    <w:rPr>
      <w:color w:val="22294D"/>
      <w:sz w:val="28"/>
      <w:szCs w:val="28"/>
      <w:lang w:val="en-US"/>
    </w:rPr>
  </w:style>
  <w:style w:type="paragraph" w:styleId="Ttulo">
    <w:name w:val="Title"/>
    <w:aliases w:val="6 - Position"/>
    <w:basedOn w:val="Ttulo2"/>
    <w:next w:val="Normal"/>
    <w:link w:val="TtuloCar"/>
    <w:uiPriority w:val="10"/>
    <w:qFormat/>
    <w:rsid w:val="00EA7E45"/>
    <w:rPr>
      <w:b w:val="0"/>
      <w:bCs w:val="0"/>
      <w:i/>
    </w:rPr>
  </w:style>
  <w:style w:type="character" w:customStyle="1" w:styleId="TtuloCar">
    <w:name w:val="Título Car"/>
    <w:aliases w:val="6 - Position Car"/>
    <w:basedOn w:val="Fuentedeprrafopredeter"/>
    <w:link w:val="Ttulo"/>
    <w:uiPriority w:val="10"/>
    <w:rsid w:val="00EA7E45"/>
    <w:rPr>
      <w:i/>
      <w:color w:val="22294D"/>
      <w:sz w:val="19"/>
      <w:lang w:val="en-US"/>
    </w:rPr>
  </w:style>
  <w:style w:type="character" w:customStyle="1" w:styleId="PrrafodelistaCar">
    <w:name w:val="Párrafo de lista Car"/>
    <w:basedOn w:val="Fuentedeprrafopredeter"/>
    <w:link w:val="Prrafodelista"/>
    <w:uiPriority w:val="34"/>
    <w:rsid w:val="00A11232"/>
    <w:rPr>
      <w:noProof/>
      <w:color w:val="787878"/>
      <w:sz w:val="19"/>
      <w:lang w:val="fr-FR"/>
    </w:rPr>
  </w:style>
  <w:style w:type="paragraph" w:styleId="Encabezado">
    <w:name w:val="header"/>
    <w:basedOn w:val="Normal"/>
    <w:link w:val="EncabezadoCar"/>
    <w:uiPriority w:val="99"/>
    <w:unhideWhenUsed/>
    <w:rsid w:val="005B3B3E"/>
    <w:pPr>
      <w:tabs>
        <w:tab w:val="center" w:pos="4536"/>
        <w:tab w:val="right" w:pos="9072"/>
      </w:tabs>
      <w:spacing w:after="0"/>
    </w:pPr>
  </w:style>
  <w:style w:type="character" w:customStyle="1" w:styleId="EncabezadoCar">
    <w:name w:val="Encabezado Car"/>
    <w:basedOn w:val="Fuentedeprrafopredeter"/>
    <w:link w:val="Encabezado"/>
    <w:uiPriority w:val="99"/>
    <w:rsid w:val="005B3B3E"/>
    <w:rPr>
      <w:color w:val="787878"/>
      <w:sz w:val="19"/>
      <w:lang w:val="nl-NL"/>
    </w:rPr>
  </w:style>
  <w:style w:type="paragraph" w:styleId="Piedepgina">
    <w:name w:val="footer"/>
    <w:basedOn w:val="Normal"/>
    <w:link w:val="PiedepginaCar"/>
    <w:uiPriority w:val="99"/>
    <w:unhideWhenUsed/>
    <w:rsid w:val="005B3B3E"/>
    <w:pPr>
      <w:tabs>
        <w:tab w:val="center" w:pos="4536"/>
        <w:tab w:val="right" w:pos="9072"/>
      </w:tabs>
      <w:spacing w:after="0"/>
    </w:pPr>
  </w:style>
  <w:style w:type="character" w:customStyle="1" w:styleId="PiedepginaCar">
    <w:name w:val="Pie de página Car"/>
    <w:basedOn w:val="Fuentedeprrafopredeter"/>
    <w:link w:val="Piedepgina"/>
    <w:uiPriority w:val="99"/>
    <w:rsid w:val="005B3B3E"/>
    <w:rPr>
      <w:color w:val="787878"/>
      <w:sz w:val="19"/>
      <w:lang w:val="nl-NL"/>
    </w:rPr>
  </w:style>
  <w:style w:type="character" w:styleId="Textodelmarcadordeposicin">
    <w:name w:val="Placeholder Text"/>
    <w:basedOn w:val="Fuentedeprrafopredeter"/>
    <w:uiPriority w:val="99"/>
    <w:semiHidden/>
    <w:rsid w:val="0059261D"/>
    <w:rPr>
      <w:color w:val="808080"/>
    </w:rPr>
  </w:style>
  <w:style w:type="character" w:styleId="Hipervnculo">
    <w:name w:val="Hyperlink"/>
    <w:basedOn w:val="Fuentedeprrafopredeter"/>
    <w:uiPriority w:val="99"/>
    <w:unhideWhenUsed/>
    <w:rsid w:val="0059261D"/>
    <w:rPr>
      <w:color w:val="0563C1" w:themeColor="hyperlink"/>
      <w:u w:val="single"/>
    </w:rPr>
  </w:style>
  <w:style w:type="table" w:styleId="Tablaconcuadrcula">
    <w:name w:val="Table Grid"/>
    <w:basedOn w:val="Tabla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Fuentedeprrafopredeter"/>
    <w:rsid w:val="008C1913"/>
  </w:style>
  <w:style w:type="character" w:customStyle="1" w:styleId="eop">
    <w:name w:val="eop"/>
    <w:basedOn w:val="Fuentedeprrafopredeter"/>
    <w:rsid w:val="008C1913"/>
  </w:style>
  <w:style w:type="character" w:customStyle="1" w:styleId="scxw95617525">
    <w:name w:val="scxw95617525"/>
    <w:basedOn w:val="Fuentedeprrafopredeter"/>
    <w:rsid w:val="008C1913"/>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color w:val="22294D"/>
      <w:sz w:val="20"/>
      <w:szCs w:val="20"/>
      <w:lang w:val="en-U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854B7"/>
    <w:rPr>
      <w:b/>
      <w:bCs/>
    </w:rPr>
  </w:style>
  <w:style w:type="character" w:customStyle="1" w:styleId="AsuntodelcomentarioCar">
    <w:name w:val="Asunto del comentario Car"/>
    <w:basedOn w:val="TextocomentarioCar"/>
    <w:link w:val="Asuntodelcomentario"/>
    <w:uiPriority w:val="99"/>
    <w:semiHidden/>
    <w:rsid w:val="00C854B7"/>
    <w:rPr>
      <w:b/>
      <w:bCs/>
      <w:color w:val="22294D"/>
      <w:sz w:val="20"/>
      <w:szCs w:val="20"/>
      <w:lang w:val="en-US"/>
    </w:rPr>
  </w:style>
  <w:style w:type="paragraph" w:styleId="Revisin">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905210361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s/news/presscont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D15A81B2-BE5B-40BC-9A5A-31ADD3416898}"/>
</file>

<file path=customXml/itemProps3.xml><?xml version="1.0" encoding="utf-8"?>
<ds:datastoreItem xmlns:ds="http://schemas.openxmlformats.org/officeDocument/2006/customXml" ds:itemID="{AFA0415B-EFDC-4F3D-9A18-0D25E396FF0B}">
  <ds:schemaRefs>
    <ds:schemaRef ds:uri="b46b0888-3a4a-41d6-b186-0947ac4cbdb1"/>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24a01684-1a2a-406c-9800-227e6ea0d198"/>
    <ds:schemaRef ds:uri="http://schemas.microsoft.com/office/2006/metadata/properties"/>
  </ds:schemaRefs>
</ds:datastoreItem>
</file>

<file path=customXml/itemProps4.xml><?xml version="1.0" encoding="utf-8"?>
<ds:datastoreItem xmlns:ds="http://schemas.openxmlformats.org/officeDocument/2006/customXml" ds:itemID="{6809F6E7-B668-48BC-96E3-98A6B51856D7}">
  <ds:schemaRefs>
    <ds:schemaRef ds:uri="http://schemas.microsoft.com/sharepoint/v3/contenttype/form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991</Words>
  <Characters>5456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SAFE2EAT</vt:lpstr>
    </vt:vector>
  </TitlesOfParts>
  <Manager>GARCIA GOMEZ Matilde</Manager>
  <Company>European Food Safety Authority</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Ruiz García. Victoria</cp:lastModifiedBy>
  <cp:revision>5</cp:revision>
  <dcterms:created xsi:type="dcterms:W3CDTF">2025-03-20T08:10:00Z</dcterms:created>
  <dcterms:modified xsi:type="dcterms:W3CDTF">2025-03-20T08:59:00Z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